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DBB298D" w:rsidR="00E978D0" w:rsidRPr="00B57B36" w:rsidRDefault="006A4742" w:rsidP="00E978D0">
      <w:pPr>
        <w:pStyle w:val="CETTitle"/>
      </w:pPr>
      <w:r w:rsidRPr="006A4742">
        <w:t xml:space="preserve">Technical, Environmental, and Economic Evaluation of Alternatives for Hybrid Energy Generation for Rational Energy Use Scenarios at The Santander Technological Units Using </w:t>
      </w:r>
      <w:r w:rsidR="00FA2D74">
        <w:t>HOMER</w:t>
      </w:r>
      <w:r w:rsidRPr="006A4742">
        <w:t xml:space="preserve"> Pro </w:t>
      </w:r>
      <w:commentRangeStart w:id="0"/>
      <w:r w:rsidRPr="006A4742">
        <w:t>Software</w:t>
      </w:r>
      <w:commentRangeEnd w:id="0"/>
      <w:r w:rsidR="00220060">
        <w:rPr>
          <w:rStyle w:val="Refdecomentario"/>
        </w:rPr>
        <w:commentReference w:id="0"/>
      </w:r>
      <w:r w:rsidRPr="006A4742">
        <w:t>.</w:t>
      </w:r>
    </w:p>
    <w:p w14:paraId="0488FED2" w14:textId="28154A74" w:rsidR="00B57E6F" w:rsidRPr="00A92064" w:rsidRDefault="006A4742" w:rsidP="00B57E6F">
      <w:pPr>
        <w:pStyle w:val="CETAuthors"/>
        <w:rPr>
          <w:lang w:val="es-CO"/>
        </w:rPr>
      </w:pPr>
      <w:r w:rsidRPr="00A92064">
        <w:rPr>
          <w:lang w:val="es-CO"/>
        </w:rPr>
        <w:t xml:space="preserve">Diego de J. León Nova </w:t>
      </w:r>
      <w:r w:rsidR="00B57E6F" w:rsidRPr="00A92064">
        <w:rPr>
          <w:vertAlign w:val="superscript"/>
          <w:lang w:val="es-CO"/>
        </w:rPr>
        <w:t>a</w:t>
      </w:r>
      <w:r w:rsidR="00B57E6F" w:rsidRPr="00A92064">
        <w:rPr>
          <w:lang w:val="es-CO"/>
        </w:rPr>
        <w:t>,</w:t>
      </w:r>
      <w:r w:rsidRPr="00A92064">
        <w:rPr>
          <w:lang w:val="es-CO"/>
        </w:rPr>
        <w:t xml:space="preserve"> Diana V. Gallo Ardila </w:t>
      </w:r>
      <w:r w:rsidRPr="00A92064">
        <w:rPr>
          <w:vertAlign w:val="superscript"/>
          <w:lang w:val="es-CO"/>
        </w:rPr>
        <w:t>b</w:t>
      </w:r>
      <w:r w:rsidRPr="00A92064">
        <w:rPr>
          <w:lang w:val="es-CO"/>
        </w:rPr>
        <w:t>,</w:t>
      </w:r>
      <w:r w:rsidR="00B57E6F" w:rsidRPr="00A92064">
        <w:rPr>
          <w:lang w:val="es-CO"/>
        </w:rPr>
        <w:t xml:space="preserve"> </w:t>
      </w:r>
      <w:r w:rsidRPr="00A92064">
        <w:rPr>
          <w:lang w:val="es-CO"/>
        </w:rPr>
        <w:t>Javier A</w:t>
      </w:r>
      <w:r w:rsidR="00F436CF">
        <w:rPr>
          <w:lang w:val="es-CO"/>
        </w:rPr>
        <w:t xml:space="preserve">scanio </w:t>
      </w:r>
      <w:r w:rsidRPr="00A92064">
        <w:rPr>
          <w:lang w:val="es-CO"/>
        </w:rPr>
        <w:t xml:space="preserve">Villabona </w:t>
      </w:r>
      <w:r w:rsidRPr="00A92064">
        <w:rPr>
          <w:vertAlign w:val="superscript"/>
          <w:lang w:val="es-CO"/>
        </w:rPr>
        <w:t>a</w:t>
      </w:r>
      <w:r w:rsidRPr="00A92064">
        <w:rPr>
          <w:lang w:val="es-CO"/>
        </w:rPr>
        <w:t xml:space="preserve">, </w:t>
      </w:r>
      <w:r w:rsidR="00613E65" w:rsidRPr="00A92064">
        <w:rPr>
          <w:lang w:val="es-CO"/>
        </w:rPr>
        <w:t>Ana M</w:t>
      </w:r>
      <w:r w:rsidR="00B57E6F" w:rsidRPr="00A92064">
        <w:rPr>
          <w:lang w:val="es-CO"/>
        </w:rPr>
        <w:t xml:space="preserve">. </w:t>
      </w:r>
      <w:r w:rsidR="00613E65" w:rsidRPr="00A92064">
        <w:rPr>
          <w:lang w:val="es-CO"/>
        </w:rPr>
        <w:t>Rosso Cerón</w:t>
      </w:r>
      <w:r w:rsidR="00B57E6F" w:rsidRPr="00A92064">
        <w:rPr>
          <w:vertAlign w:val="superscript"/>
          <w:lang w:val="es-CO"/>
        </w:rPr>
        <w:t>b,</w:t>
      </w:r>
      <w:r w:rsidR="00B57E6F" w:rsidRPr="00A92064">
        <w:rPr>
          <w:lang w:val="es-CO"/>
        </w:rPr>
        <w:t>*</w:t>
      </w:r>
    </w:p>
    <w:p w14:paraId="6B2D21B3" w14:textId="2D89D4A7" w:rsidR="00B57E6F" w:rsidRPr="00613E65" w:rsidRDefault="00B57E6F" w:rsidP="00613E65">
      <w:pPr>
        <w:pStyle w:val="CETAddress"/>
        <w:jc w:val="both"/>
        <w:rPr>
          <w:lang w:val="es-CO"/>
        </w:rPr>
      </w:pPr>
      <w:r w:rsidRPr="00613E65">
        <w:rPr>
          <w:vertAlign w:val="superscript"/>
          <w:lang w:val="es-CO"/>
        </w:rPr>
        <w:t>a</w:t>
      </w:r>
      <w:r w:rsidR="00613E65" w:rsidRPr="00613E65">
        <w:rPr>
          <w:lang w:val="es-CO"/>
        </w:rPr>
        <w:t xml:space="preserve"> Electromechanical Engineering Program, Unidades Tecnológicas de Santander, Av. Los Estudiantes #9-82,</w:t>
      </w:r>
      <w:r w:rsidR="00613E65">
        <w:rPr>
          <w:lang w:val="es-CO"/>
        </w:rPr>
        <w:t xml:space="preserve"> </w:t>
      </w:r>
      <w:r w:rsidR="00613E65" w:rsidRPr="00613E65">
        <w:rPr>
          <w:lang w:val="es-CO"/>
        </w:rPr>
        <w:t>Bucaramanga-Santander, Colombia</w:t>
      </w:r>
    </w:p>
    <w:p w14:paraId="408F347C" w14:textId="77777777" w:rsidR="00613E65" w:rsidRPr="00A92064" w:rsidRDefault="00B57E6F" w:rsidP="00613E65">
      <w:pPr>
        <w:pStyle w:val="CETAddress"/>
      </w:pPr>
      <w:r w:rsidRPr="00613E65">
        <w:rPr>
          <w:vertAlign w:val="superscript"/>
          <w:lang w:val="es-CO"/>
        </w:rPr>
        <w:t>b</w:t>
      </w:r>
      <w:r w:rsidR="00613E65" w:rsidRPr="00613E65">
        <w:rPr>
          <w:lang w:val="es-CO"/>
        </w:rPr>
        <w:t xml:space="preserve"> Environmental Engineering Program, Unidades Tecnológicas de Santander, Av. </w:t>
      </w:r>
      <w:r w:rsidR="00613E65" w:rsidRPr="00A92064">
        <w:t>Los Estudiantes #9-82, Bucaramanga-Santander, Colombia</w:t>
      </w:r>
    </w:p>
    <w:p w14:paraId="7778FE87" w14:textId="2CD8667E" w:rsidR="00613E65" w:rsidRDefault="00613E65" w:rsidP="00613E65">
      <w:pPr>
        <w:pStyle w:val="CETAddress"/>
      </w:pPr>
      <w:r w:rsidRPr="00613E65">
        <w:t>arosso@correo.uts.edu.co</w:t>
      </w:r>
    </w:p>
    <w:p w14:paraId="3A5C2EFB" w14:textId="77777777" w:rsidR="00613E65" w:rsidRDefault="00613E65" w:rsidP="00600535">
      <w:pPr>
        <w:pStyle w:val="CETBodytext"/>
        <w:rPr>
          <w:lang w:val="en-GB"/>
        </w:rPr>
      </w:pPr>
    </w:p>
    <w:p w14:paraId="7E94F4B4" w14:textId="24CB15B9" w:rsidR="00FA2D74" w:rsidRDefault="00FA2D74" w:rsidP="00CD1BE7">
      <w:pPr>
        <w:spacing w:line="276" w:lineRule="auto"/>
      </w:pPr>
      <w:r>
        <w:t>The Technological Units of Santander (UTS), a prominent higher education institution in eastern Colombia, consumes an average of 28,490 kWh per month, resulting in monthly costs exceeding USD $5000. To address this, an analysis is underway to reduce expenses and explore viable clean energy solutions for the university buildings. This study aims to assess the technical, economic, and environmental feasibility of hybrid energy generation options, promoting rational energy use. The evaluation utilizes Hybrid Optimization of Multiple Energy Resources (HOMER Pro) software. The analysis of three scenarios indicates that photovoltaic systems can fulfil 24 % to 43.4 % of the energy demand, potentially reducing energy consumption by 30</w:t>
      </w:r>
      <w:r w:rsidR="00370342">
        <w:t xml:space="preserve"> </w:t>
      </w:r>
      <w:r>
        <w:t>% through hybrid system implementation. Each scenario offers alternatives with a return on investment (ROI) of over 5.8</w:t>
      </w:r>
      <w:r w:rsidR="00370342">
        <w:t xml:space="preserve"> </w:t>
      </w:r>
      <w:r>
        <w:t>% and a feasible internal rate of return (IRR) exceeding 8.9 %. Currently, UTS emits approximately 229.47 t of CO</w:t>
      </w:r>
      <w:r w:rsidRPr="00FA2D74">
        <w:rPr>
          <w:vertAlign w:val="subscript"/>
        </w:rPr>
        <w:t>2</w:t>
      </w:r>
      <w:r>
        <w:t xml:space="preserve"> annually. However, implementing rational energy use scenarios could reduce CO</w:t>
      </w:r>
      <w:r w:rsidRPr="00FA2D74">
        <w:rPr>
          <w:vertAlign w:val="subscript"/>
        </w:rPr>
        <w:t>2</w:t>
      </w:r>
      <w:r>
        <w:t xml:space="preserve"> emissions by up to </w:t>
      </w:r>
      <w:r w:rsidR="007A2138">
        <w:t>49.3</w:t>
      </w:r>
      <w:r>
        <w:t xml:space="preserve"> %.</w:t>
      </w:r>
    </w:p>
    <w:p w14:paraId="21E9BDB3" w14:textId="08DDC3D9" w:rsidR="00640DD1" w:rsidRPr="00640DD1" w:rsidRDefault="00600535" w:rsidP="00640DD1">
      <w:pPr>
        <w:pStyle w:val="CETHeading1"/>
        <w:rPr>
          <w:lang w:val="en-GB"/>
        </w:rPr>
      </w:pPr>
      <w:r w:rsidRPr="00B57B36">
        <w:rPr>
          <w:lang w:val="en-GB"/>
        </w:rPr>
        <w:t>Introduction</w:t>
      </w:r>
      <w:bookmarkStart w:id="1" w:name="_Hlk135295771"/>
    </w:p>
    <w:p w14:paraId="0FAC9D25" w14:textId="798FF92D" w:rsidR="00640DD1" w:rsidRPr="00640DD1" w:rsidRDefault="00640DD1" w:rsidP="00640DD1">
      <w:pPr>
        <w:spacing w:line="276" w:lineRule="auto"/>
        <w:rPr>
          <w:szCs w:val="24"/>
        </w:rPr>
      </w:pPr>
      <w:r w:rsidRPr="00640DD1">
        <w:rPr>
          <w:szCs w:val="24"/>
        </w:rPr>
        <w:t>Colombia is adopting a new energy generation model with the aim of positioning itself as a country that contributes to mitigating climate change. The national goal is to reduce greenhouse gas (GHG) emissions by 51</w:t>
      </w:r>
      <w:r w:rsidR="00976F0E">
        <w:rPr>
          <w:szCs w:val="24"/>
        </w:rPr>
        <w:t xml:space="preserve"> </w:t>
      </w:r>
      <w:r w:rsidRPr="00640DD1">
        <w:rPr>
          <w:szCs w:val="24"/>
        </w:rPr>
        <w:t>% by 2030. Colombia heavily relies on hydroelectric power, which constitutes approximately 65-70</w:t>
      </w:r>
      <w:r w:rsidR="00976F0E">
        <w:rPr>
          <w:szCs w:val="24"/>
        </w:rPr>
        <w:t xml:space="preserve"> </w:t>
      </w:r>
      <w:r w:rsidRPr="00640DD1">
        <w:rPr>
          <w:szCs w:val="24"/>
        </w:rPr>
        <w:t xml:space="preserve">% of the total energy grid. However, there is a growing recognition of the need to diversify the energy sources in the country. </w:t>
      </w:r>
      <w:r w:rsidR="006B5EB0" w:rsidRPr="006B5EB0">
        <w:rPr>
          <w:szCs w:val="24"/>
        </w:rPr>
        <w:t>Although non-conventional renewable energy sources, excluding large hydroelectric power, represented only 1</w:t>
      </w:r>
      <w:r w:rsidR="00370342">
        <w:rPr>
          <w:szCs w:val="24"/>
        </w:rPr>
        <w:t xml:space="preserve"> </w:t>
      </w:r>
      <w:r w:rsidR="006B5EB0" w:rsidRPr="006B5EB0">
        <w:rPr>
          <w:szCs w:val="24"/>
        </w:rPr>
        <w:t>% of total electricity production in 2018, there has been substantial progress. Currently, renewables contribute 12</w:t>
      </w:r>
      <w:r w:rsidR="00370342">
        <w:rPr>
          <w:szCs w:val="24"/>
        </w:rPr>
        <w:t xml:space="preserve"> </w:t>
      </w:r>
      <w:r w:rsidR="006B5EB0" w:rsidRPr="006B5EB0">
        <w:rPr>
          <w:szCs w:val="24"/>
        </w:rPr>
        <w:t>% to the energy mix (Ministry of Environment, 2021).</w:t>
      </w:r>
    </w:p>
    <w:p w14:paraId="6C154119" w14:textId="5F147591" w:rsidR="00640DD1" w:rsidRPr="00640DD1" w:rsidRDefault="00640DD1" w:rsidP="00640DD1">
      <w:pPr>
        <w:spacing w:line="276" w:lineRule="auto"/>
        <w:rPr>
          <w:szCs w:val="24"/>
        </w:rPr>
      </w:pPr>
      <w:r w:rsidRPr="00640DD1">
        <w:rPr>
          <w:szCs w:val="24"/>
        </w:rPr>
        <w:t>To further incentivize renewable energy, the Ministry of Mines and Energy in Colombia has implemented several measures</w:t>
      </w:r>
      <w:r w:rsidR="006B5EB0">
        <w:rPr>
          <w:szCs w:val="24"/>
        </w:rPr>
        <w:t xml:space="preserve">; for example: </w:t>
      </w:r>
      <w:r w:rsidRPr="00640DD1">
        <w:rPr>
          <w:szCs w:val="24"/>
        </w:rPr>
        <w:t>Law 1715 of 2014, which promotes the integration of clean energy systems into the national grid, thereby facilitating the development of hybrid energy systems. Additionally, Resolutions 40590 and 40591 of 2019 provide support for the implementation of clean energy systems by exempting tariff duties and considering operation and maintenance (O&amp;M) expenses, as well as providing the necessary resources for system development (</w:t>
      </w:r>
      <w:proofErr w:type="spellStart"/>
      <w:r w:rsidRPr="00640DD1">
        <w:rPr>
          <w:szCs w:val="24"/>
        </w:rPr>
        <w:t>Castaño</w:t>
      </w:r>
      <w:proofErr w:type="spellEnd"/>
      <w:r w:rsidRPr="00640DD1">
        <w:rPr>
          <w:szCs w:val="24"/>
        </w:rPr>
        <w:t xml:space="preserve"> &amp; García, 2020).</w:t>
      </w:r>
    </w:p>
    <w:p w14:paraId="402F25B2" w14:textId="77777777" w:rsidR="006B5EB0" w:rsidRDefault="006B5EB0" w:rsidP="00500E5D">
      <w:pPr>
        <w:spacing w:line="276" w:lineRule="auto"/>
        <w:rPr>
          <w:szCs w:val="24"/>
        </w:rPr>
      </w:pPr>
      <w:r w:rsidRPr="006B5EB0">
        <w:rPr>
          <w:szCs w:val="24"/>
        </w:rPr>
        <w:t>To advance Colombia's shift to a sustainable energy generation model, it is vital to investigate the potential of renewable energy sources and their integration into the national grid. This requires evaluating various scenarios and assessing their feasibility using dependable tools and methods.</w:t>
      </w:r>
    </w:p>
    <w:p w14:paraId="6930D15F" w14:textId="575512DC" w:rsidR="00500E5D" w:rsidRDefault="00FA2D74" w:rsidP="00500E5D">
      <w:pPr>
        <w:spacing w:line="276" w:lineRule="auto"/>
        <w:rPr>
          <w:szCs w:val="24"/>
        </w:rPr>
      </w:pPr>
      <w:r>
        <w:rPr>
          <w:szCs w:val="24"/>
        </w:rPr>
        <w:t>HOMER</w:t>
      </w:r>
      <w:r w:rsidR="006B5EB0" w:rsidRPr="006B5EB0">
        <w:rPr>
          <w:szCs w:val="24"/>
        </w:rPr>
        <w:t xml:space="preserve"> Pro is a widely</w:t>
      </w:r>
      <w:r w:rsidR="006B5EB0">
        <w:rPr>
          <w:szCs w:val="24"/>
        </w:rPr>
        <w:t xml:space="preserve"> commercial</w:t>
      </w:r>
      <w:r w:rsidR="006B5EB0" w:rsidRPr="006B5EB0">
        <w:rPr>
          <w:szCs w:val="24"/>
        </w:rPr>
        <w:t xml:space="preserve"> used software tool for analysing hybrid renewable energy systems. It simulates, optimizes, and analyses these systems, incorporating modules for modelling solar panels, wind </w:t>
      </w:r>
      <w:r w:rsidR="006B5EB0" w:rsidRPr="006B5EB0">
        <w:rPr>
          <w:szCs w:val="24"/>
        </w:rPr>
        <w:lastRenderedPageBreak/>
        <w:t>turbines, batteries, and the electric grid. Its main advantage is the ability to generate and evaluate multiple alternatives, exploring different configurations, system sizes, and renewable energy technologies. This helps decision-makers identify the most suitable options for achieving energy sustainability and reducing CO</w:t>
      </w:r>
      <w:r w:rsidR="006B5EB0" w:rsidRPr="006B5EB0">
        <w:rPr>
          <w:szCs w:val="24"/>
          <w:vertAlign w:val="subscript"/>
        </w:rPr>
        <w:t>2</w:t>
      </w:r>
      <w:r w:rsidR="006B5EB0" w:rsidRPr="006B5EB0">
        <w:rPr>
          <w:szCs w:val="24"/>
        </w:rPr>
        <w:t xml:space="preserve"> emissions</w:t>
      </w:r>
      <w:r w:rsidR="00C31FD0">
        <w:rPr>
          <w:szCs w:val="24"/>
        </w:rPr>
        <w:t>.</w:t>
      </w:r>
    </w:p>
    <w:p w14:paraId="49AB9FF3" w14:textId="2264E3EB" w:rsidR="006B5EB0" w:rsidRPr="00640DD1" w:rsidRDefault="006B5EB0" w:rsidP="00500E5D">
      <w:pPr>
        <w:spacing w:line="276" w:lineRule="auto"/>
        <w:rPr>
          <w:szCs w:val="24"/>
        </w:rPr>
      </w:pPr>
      <w:r>
        <w:t xml:space="preserve">Various studies have utilized </w:t>
      </w:r>
      <w:r w:rsidR="00FA2D74">
        <w:t>HOMER</w:t>
      </w:r>
      <w:r>
        <w:t xml:space="preserve"> Pro for analysis and optimization purposes. For instance, Palau (2019) employed </w:t>
      </w:r>
      <w:r w:rsidR="00FA2D74">
        <w:t>HOMER</w:t>
      </w:r>
      <w:r>
        <w:t xml:space="preserve"> to compare renewable hybrid installations in municipal buildings in </w:t>
      </w:r>
      <w:proofErr w:type="spellStart"/>
      <w:r>
        <w:t>Betxí</w:t>
      </w:r>
      <w:proofErr w:type="spellEnd"/>
      <w:r>
        <w:t xml:space="preserve">, Spain, considering factors like location, climate, and costs. Gómez (2019) explored battery selection for microgrid connection based on storage capacity using </w:t>
      </w:r>
      <w:r w:rsidR="00FA2D74">
        <w:t>HOMER</w:t>
      </w:r>
      <w:r>
        <w:t xml:space="preserve"> Pro. In Malaysia, </w:t>
      </w:r>
      <w:proofErr w:type="spellStart"/>
      <w:r>
        <w:t>Afham</w:t>
      </w:r>
      <w:proofErr w:type="spellEnd"/>
      <w:r>
        <w:t xml:space="preserve"> et al. (2021) evaluated investments in renewable energy systems using </w:t>
      </w:r>
      <w:r w:rsidR="00FA2D74">
        <w:t>HOMER</w:t>
      </w:r>
      <w:r>
        <w:t xml:space="preserve"> Pro and demonstrated the cost-effectiveness and CO2 reduction potential of hybrid photovoltaic-electricity systems. In Colombia, Rosso Cerón and Kafarov (2015) conducted financial feasibility studies for isolated populations, evaluating different scenarios for integrating variable renewable energy systems. International experiences, such as </w:t>
      </w:r>
      <w:proofErr w:type="spellStart"/>
      <w:r>
        <w:t>Galdamez</w:t>
      </w:r>
      <w:proofErr w:type="spellEnd"/>
      <w:r>
        <w:t xml:space="preserve"> et al. (2020), highlighted </w:t>
      </w:r>
      <w:r w:rsidR="00FA2D74">
        <w:t>HOMER</w:t>
      </w:r>
      <w:r>
        <w:t xml:space="preserve"> Pro's role in designing renewable energy systems for educational institutions, emphasizing optimization, economic feasibility, and environmental impact assessment. In Colombia, Osorio (2022) evaluated electricity demand, photovoltaic system sizing, and energy performance monitoring at the National University of Colombia using </w:t>
      </w:r>
      <w:r w:rsidR="00FA2D74">
        <w:t>HOMER</w:t>
      </w:r>
      <w:r>
        <w:t xml:space="preserve"> software. It proved indispensable in finding sustainable energy solutions and optimizing renewable energy systems. At UTS, monthly electricity consumption averages 28,490 kWh, with a significant cost increase attributed to a growing student population and new building construction (Mora, 2022). </w:t>
      </w:r>
      <w:r w:rsidR="00FA2D74">
        <w:t>Then t</w:t>
      </w:r>
      <w:r>
        <w:t xml:space="preserve">his research aims to study hybrid energy generation systems and implement energy efficiency scenarios at UTS using </w:t>
      </w:r>
      <w:r w:rsidR="00FA2D74">
        <w:t>HOMER</w:t>
      </w:r>
      <w:r>
        <w:t xml:space="preserve"> Pro software. Challenges include data availability, accuracy, and the complexity of </w:t>
      </w:r>
      <w:r w:rsidR="00FA2D74">
        <w:t>modelling</w:t>
      </w:r>
      <w:r>
        <w:t xml:space="preserve"> hybrid energy systems.</w:t>
      </w:r>
    </w:p>
    <w:bookmarkEnd w:id="1"/>
    <w:p w14:paraId="6656C78E" w14:textId="30A9952E" w:rsidR="00FD15EB" w:rsidRDefault="00832E89" w:rsidP="00453E24">
      <w:pPr>
        <w:pStyle w:val="CETHeading1"/>
      </w:pPr>
      <w:r>
        <w:t>Methodology</w:t>
      </w:r>
    </w:p>
    <w:p w14:paraId="0636B784" w14:textId="107DA9A2" w:rsidR="00453E24" w:rsidRPr="00677CB9" w:rsidRDefault="00677CB9" w:rsidP="00677CB9">
      <w:pPr>
        <w:pStyle w:val="CETheadingx"/>
      </w:pPr>
      <w:r w:rsidRPr="00677CB9">
        <w:t xml:space="preserve">2.1 </w:t>
      </w:r>
      <w:r w:rsidR="00383CE2" w:rsidRPr="00677CB9">
        <w:t xml:space="preserve">Estimation of </w:t>
      </w:r>
      <w:r w:rsidR="00A20BF9">
        <w:t>renewable energy</w:t>
      </w:r>
      <w:r w:rsidR="00383CE2" w:rsidRPr="00677CB9">
        <w:t xml:space="preserve"> resource </w:t>
      </w:r>
    </w:p>
    <w:p w14:paraId="62B1B996" w14:textId="5A9AD099" w:rsidR="00056B08" w:rsidRDefault="00F1575A" w:rsidP="00677CB9">
      <w:pPr>
        <w:pStyle w:val="CETheadingx"/>
        <w:rPr>
          <w:b w:val="0"/>
        </w:rPr>
      </w:pPr>
      <w:r>
        <w:rPr>
          <w:b w:val="0"/>
        </w:rPr>
        <w:t>R</w:t>
      </w:r>
      <w:r w:rsidR="00056B08" w:rsidRPr="00056B08">
        <w:rPr>
          <w:b w:val="0"/>
        </w:rPr>
        <w:t xml:space="preserve">equired inputs for </w:t>
      </w:r>
      <w:r w:rsidR="00FA2D74">
        <w:rPr>
          <w:b w:val="0"/>
        </w:rPr>
        <w:t>HOMER</w:t>
      </w:r>
      <w:r w:rsidR="00A20BF9" w:rsidRPr="00A20BF9">
        <w:rPr>
          <w:b w:val="0"/>
        </w:rPr>
        <w:t xml:space="preserve"> Energy Pro </w:t>
      </w:r>
      <w:r w:rsidR="00056B08" w:rsidRPr="00056B08">
        <w:rPr>
          <w:b w:val="0"/>
        </w:rPr>
        <w:t>include meteorological data</w:t>
      </w:r>
      <w:r>
        <w:rPr>
          <w:b w:val="0"/>
        </w:rPr>
        <w:t xml:space="preserve"> of renewable sources.</w:t>
      </w:r>
      <w:r w:rsidRPr="00F1575A">
        <w:t xml:space="preserve"> </w:t>
      </w:r>
      <w:r>
        <w:rPr>
          <w:b w:val="0"/>
        </w:rPr>
        <w:t>W</w:t>
      </w:r>
      <w:r w:rsidRPr="00F1575A">
        <w:rPr>
          <w:b w:val="0"/>
        </w:rPr>
        <w:t>ind and solar resource potential</w:t>
      </w:r>
      <w:r>
        <w:rPr>
          <w:b w:val="0"/>
        </w:rPr>
        <w:t xml:space="preserve"> w</w:t>
      </w:r>
      <w:r w:rsidRPr="00056B08">
        <w:rPr>
          <w:b w:val="0"/>
        </w:rPr>
        <w:t>ere</w:t>
      </w:r>
      <w:r w:rsidR="00056B08" w:rsidRPr="00056B08">
        <w:rPr>
          <w:b w:val="0"/>
        </w:rPr>
        <w:t xml:space="preserve"> compiled from NASA's Prediction of Worldwide Energy Resource (POWER) portal, utilizing the georeferencing coordinates of the buildings under study. The selection of these specific renewable resources as alternatives for the case study was based on their feasibility, considering the absence of options such as geothermal or nuclear energy sources.</w:t>
      </w:r>
    </w:p>
    <w:p w14:paraId="18BAFA6F" w14:textId="1F07EF3F" w:rsidR="00453E24" w:rsidRPr="004C428F" w:rsidRDefault="00677CB9" w:rsidP="00677CB9">
      <w:pPr>
        <w:pStyle w:val="CETheadingx"/>
      </w:pPr>
      <w:r>
        <w:t xml:space="preserve">2.2 </w:t>
      </w:r>
      <w:r w:rsidR="004C428F" w:rsidRPr="004C428F">
        <w:t xml:space="preserve">Estimation of the demand </w:t>
      </w:r>
      <w:r w:rsidR="00A51240">
        <w:t>of</w:t>
      </w:r>
      <w:r w:rsidR="004C428F" w:rsidRPr="004C428F">
        <w:t xml:space="preserve"> electric </w:t>
      </w:r>
    </w:p>
    <w:p w14:paraId="5DB1D1AB" w14:textId="698C5052" w:rsidR="00D70D6B" w:rsidRDefault="00DF19D8" w:rsidP="00677CB9">
      <w:pPr>
        <w:pStyle w:val="CETheadingx"/>
        <w:rPr>
          <w:b w:val="0"/>
        </w:rPr>
      </w:pPr>
      <w:r>
        <w:rPr>
          <w:b w:val="0"/>
        </w:rPr>
        <w:t xml:space="preserve">As a </w:t>
      </w:r>
      <w:r w:rsidRPr="00056B08">
        <w:rPr>
          <w:b w:val="0"/>
        </w:rPr>
        <w:t xml:space="preserve">required inputs for </w:t>
      </w:r>
      <w:r w:rsidR="00FA2D74">
        <w:rPr>
          <w:b w:val="0"/>
        </w:rPr>
        <w:t>HOMER</w:t>
      </w:r>
      <w:r w:rsidR="00A20BF9" w:rsidRPr="00A20BF9">
        <w:rPr>
          <w:b w:val="0"/>
        </w:rPr>
        <w:t xml:space="preserve"> Energy Pro</w:t>
      </w:r>
      <w:r>
        <w:rPr>
          <w:b w:val="0"/>
        </w:rPr>
        <w:t xml:space="preserve">, </w:t>
      </w:r>
      <w:r w:rsidR="0095151B" w:rsidRPr="0095151B">
        <w:rPr>
          <w:b w:val="0"/>
        </w:rPr>
        <w:t xml:space="preserve">energy </w:t>
      </w:r>
      <w:r>
        <w:rPr>
          <w:b w:val="0"/>
        </w:rPr>
        <w:t xml:space="preserve">demand </w:t>
      </w:r>
      <w:r w:rsidR="0095151B" w:rsidRPr="0095151B">
        <w:rPr>
          <w:b w:val="0"/>
        </w:rPr>
        <w:t xml:space="preserve">in the buildings under investigation was estimated using primary data obtained from the commercial distributor's </w:t>
      </w:r>
      <w:r>
        <w:rPr>
          <w:b w:val="0"/>
        </w:rPr>
        <w:t>electrical</w:t>
      </w:r>
      <w:r w:rsidR="0095151B" w:rsidRPr="0095151B">
        <w:rPr>
          <w:b w:val="0"/>
        </w:rPr>
        <w:t xml:space="preserve"> consumption records. In addition, the load curve was obtained </w:t>
      </w:r>
      <w:r w:rsidR="00A20BF9">
        <w:rPr>
          <w:b w:val="0"/>
        </w:rPr>
        <w:t>because</w:t>
      </w:r>
      <w:r>
        <w:rPr>
          <w:b w:val="0"/>
        </w:rPr>
        <w:t xml:space="preserve"> it</w:t>
      </w:r>
      <w:r w:rsidR="0095151B" w:rsidRPr="0095151B">
        <w:rPr>
          <w:b w:val="0"/>
        </w:rPr>
        <w:t xml:space="preserve"> plays a crucial role in analysing and optimizing hybrid energy systems. The average daily demand curve currently stands at 949.67 kWh/d. The demand exhibits a distinct pattern characterized by an initial surge in loads at 6:00 am, corresponding to the commencement of daily classes, which then remains relatively stable until approximately 10:00 am. Subsequently, there is a gradual decline in demand throughout the afternoon hours. However, at </w:t>
      </w:r>
      <w:r>
        <w:rPr>
          <w:b w:val="0"/>
        </w:rPr>
        <w:t>5</w:t>
      </w:r>
      <w:r w:rsidR="0095151B" w:rsidRPr="0095151B">
        <w:rPr>
          <w:b w:val="0"/>
        </w:rPr>
        <w:t xml:space="preserve">:00 pm, there is a notable increase in demand attributed to the influx of students attending evening classes, resulting in a peak power consumption of 85.47 kWh between </w:t>
      </w:r>
      <w:r>
        <w:rPr>
          <w:b w:val="0"/>
        </w:rPr>
        <w:t>6</w:t>
      </w:r>
      <w:r w:rsidR="0095151B" w:rsidRPr="0095151B">
        <w:rPr>
          <w:b w:val="0"/>
        </w:rPr>
        <w:t xml:space="preserve">:00 and </w:t>
      </w:r>
      <w:r>
        <w:rPr>
          <w:b w:val="0"/>
        </w:rPr>
        <w:t>7</w:t>
      </w:r>
      <w:r w:rsidR="0095151B" w:rsidRPr="0095151B">
        <w:rPr>
          <w:b w:val="0"/>
        </w:rPr>
        <w:t>:00 pm</w:t>
      </w:r>
      <w:r w:rsidR="00D70D6B" w:rsidRPr="00D70D6B">
        <w:rPr>
          <w:b w:val="0"/>
        </w:rPr>
        <w:t>.</w:t>
      </w:r>
    </w:p>
    <w:p w14:paraId="2B908884" w14:textId="44286E7B" w:rsidR="007D4368" w:rsidRPr="00DB23B2" w:rsidRDefault="00677CB9" w:rsidP="00677CB9">
      <w:pPr>
        <w:pStyle w:val="CETheadingx"/>
      </w:pPr>
      <w:r>
        <w:t xml:space="preserve">2.3 </w:t>
      </w:r>
      <w:r w:rsidR="004C428F" w:rsidRPr="00DB23B2">
        <w:t xml:space="preserve">Formulation of three scenarios for rational </w:t>
      </w:r>
      <w:r w:rsidR="005A1019">
        <w:t xml:space="preserve">end </w:t>
      </w:r>
      <w:r w:rsidR="004C428F" w:rsidRPr="00DB23B2">
        <w:t xml:space="preserve">use of </w:t>
      </w:r>
      <w:r w:rsidR="00DB23B2" w:rsidRPr="00DB23B2">
        <w:t>e</w:t>
      </w:r>
      <w:r w:rsidR="00E14D2F" w:rsidRPr="00DB23B2">
        <w:t xml:space="preserve">nergy </w:t>
      </w:r>
    </w:p>
    <w:p w14:paraId="486A3486" w14:textId="538AD759" w:rsidR="005A1019" w:rsidRPr="00C42123" w:rsidRDefault="005A1019" w:rsidP="00C42123">
      <w:pPr>
        <w:pStyle w:val="CETBodytext"/>
        <w:rPr>
          <w:lang w:val="en-GB"/>
        </w:rPr>
      </w:pPr>
      <w:r w:rsidRPr="00C42123">
        <w:rPr>
          <w:lang w:val="en-GB"/>
        </w:rPr>
        <w:t>To promote the rational use of energy</w:t>
      </w:r>
      <w:r w:rsidR="00C42123" w:rsidRPr="00C42123">
        <w:rPr>
          <w:lang w:val="en-GB"/>
        </w:rPr>
        <w:t xml:space="preserve"> at UTS</w:t>
      </w:r>
      <w:r w:rsidRPr="00C42123">
        <w:rPr>
          <w:lang w:val="en-GB"/>
        </w:rPr>
        <w:t xml:space="preserve">, three scenarios were </w:t>
      </w:r>
      <w:r w:rsidR="00C42123" w:rsidRPr="00C42123">
        <w:rPr>
          <w:lang w:val="en-GB"/>
        </w:rPr>
        <w:t xml:space="preserve">employed for the simulation of the energy system in </w:t>
      </w:r>
      <w:bookmarkStart w:id="2" w:name="_Hlk139361513"/>
      <w:r w:rsidR="00FA2D74">
        <w:rPr>
          <w:lang w:val="en-GB"/>
        </w:rPr>
        <w:t>HOMER</w:t>
      </w:r>
      <w:r w:rsidR="00C42123" w:rsidRPr="00C42123">
        <w:rPr>
          <w:lang w:val="en-GB"/>
        </w:rPr>
        <w:t xml:space="preserve"> Energy Pro</w:t>
      </w:r>
      <w:bookmarkEnd w:id="2"/>
      <w:r w:rsidRPr="00C42123">
        <w:rPr>
          <w:lang w:val="en-GB"/>
        </w:rPr>
        <w:t xml:space="preserve">. These scenarios focus on implementing technical improvements in </w:t>
      </w:r>
      <w:r w:rsidR="007635AE" w:rsidRPr="00C42123">
        <w:rPr>
          <w:lang w:val="en-GB"/>
        </w:rPr>
        <w:t xml:space="preserve">end </w:t>
      </w:r>
      <w:r w:rsidRPr="00C42123">
        <w:rPr>
          <w:lang w:val="en-GB"/>
        </w:rPr>
        <w:t>energy consumption and aim to achieve efficiency levels of 25</w:t>
      </w:r>
      <w:r w:rsidR="00A20BF9">
        <w:rPr>
          <w:lang w:val="en-GB"/>
        </w:rPr>
        <w:t xml:space="preserve"> </w:t>
      </w:r>
      <w:r w:rsidRPr="00C42123">
        <w:rPr>
          <w:lang w:val="en-GB"/>
        </w:rPr>
        <w:t>%, 30</w:t>
      </w:r>
      <w:r w:rsidR="00A20BF9">
        <w:rPr>
          <w:lang w:val="en-GB"/>
        </w:rPr>
        <w:t xml:space="preserve"> </w:t>
      </w:r>
      <w:r w:rsidRPr="00C42123">
        <w:rPr>
          <w:lang w:val="en-GB"/>
        </w:rPr>
        <w:t>%, and 35</w:t>
      </w:r>
      <w:r w:rsidR="00A20BF9">
        <w:rPr>
          <w:lang w:val="en-GB"/>
        </w:rPr>
        <w:t xml:space="preserve"> </w:t>
      </w:r>
      <w:r w:rsidRPr="00C42123">
        <w:rPr>
          <w:lang w:val="en-GB"/>
        </w:rPr>
        <w:t xml:space="preserve">%, respectively. The scenarios were developed </w:t>
      </w:r>
      <w:r w:rsidR="00A20BF9">
        <w:rPr>
          <w:lang w:val="en-GB"/>
        </w:rPr>
        <w:t>for</w:t>
      </w:r>
      <w:r w:rsidRPr="00C42123">
        <w:rPr>
          <w:lang w:val="en-GB"/>
        </w:rPr>
        <w:t xml:space="preserve"> the analysis and simulations performed using the </w:t>
      </w:r>
      <w:r w:rsidR="00FA2D74">
        <w:rPr>
          <w:lang w:val="en-GB"/>
        </w:rPr>
        <w:t>HOMER</w:t>
      </w:r>
      <w:r w:rsidR="00A20BF9" w:rsidRPr="00A20BF9">
        <w:rPr>
          <w:lang w:val="en-GB"/>
        </w:rPr>
        <w:t xml:space="preserve"> Energy Pro</w:t>
      </w:r>
      <w:r w:rsidRPr="00C42123">
        <w:rPr>
          <w:lang w:val="en-GB"/>
        </w:rPr>
        <w:t>. They involve various measures to enhance energy efficiency, such as the use of energy-efficient devices like LED light bulbs and the implementation of corrective energy-saving measures. These measures include optimizing equipment settings, improving insulation, and adopting efficient control systems.</w:t>
      </w:r>
    </w:p>
    <w:p w14:paraId="00B4A3CC" w14:textId="57DA2EFA" w:rsidR="007D4368" w:rsidRPr="00677CB9" w:rsidRDefault="00677CB9" w:rsidP="00677CB9">
      <w:pPr>
        <w:pStyle w:val="CETheadingx"/>
      </w:pPr>
      <w:r w:rsidRPr="00677CB9">
        <w:t xml:space="preserve">2.4 </w:t>
      </w:r>
      <w:r w:rsidR="00DB23B2" w:rsidRPr="00677CB9">
        <w:t>Assessment of</w:t>
      </w:r>
      <w:r w:rsidR="00E14D2F" w:rsidRPr="00677CB9">
        <w:t xml:space="preserve"> technical, </w:t>
      </w:r>
      <w:r w:rsidR="00170110" w:rsidRPr="00677CB9">
        <w:t>environmental,</w:t>
      </w:r>
      <w:r w:rsidR="00E14D2F" w:rsidRPr="00677CB9">
        <w:t xml:space="preserve"> and financial feasibility</w:t>
      </w:r>
    </w:p>
    <w:p w14:paraId="633671C2" w14:textId="5907420F" w:rsidR="00FD15EB" w:rsidRDefault="00E14D2F" w:rsidP="00755DC9">
      <w:pPr>
        <w:pStyle w:val="CETBodytext"/>
        <w:rPr>
          <w:lang w:val="en-GB"/>
        </w:rPr>
      </w:pPr>
      <w:r w:rsidRPr="00E14D2F">
        <w:rPr>
          <w:lang w:val="en-GB"/>
        </w:rPr>
        <w:t xml:space="preserve">The feasibility of the alternatives provided by </w:t>
      </w:r>
      <w:r w:rsidR="00FA2D74">
        <w:rPr>
          <w:lang w:val="en-GB"/>
        </w:rPr>
        <w:t>HOMER</w:t>
      </w:r>
      <w:r w:rsidR="00A20BF9" w:rsidRPr="00A20BF9">
        <w:rPr>
          <w:lang w:val="en-GB"/>
        </w:rPr>
        <w:t xml:space="preserve"> Energy Pro </w:t>
      </w:r>
      <w:r w:rsidRPr="00E14D2F">
        <w:rPr>
          <w:lang w:val="en-GB"/>
        </w:rPr>
        <w:t xml:space="preserve">was </w:t>
      </w:r>
      <w:r w:rsidR="00337EED" w:rsidRPr="00E14D2F">
        <w:rPr>
          <w:lang w:val="en-GB"/>
        </w:rPr>
        <w:t>analysed</w:t>
      </w:r>
      <w:r w:rsidRPr="00E14D2F">
        <w:rPr>
          <w:lang w:val="en-GB"/>
        </w:rPr>
        <w:t xml:space="preserve"> in each scenario, comparing results in the different systems provided by the tool, </w:t>
      </w:r>
      <w:r w:rsidR="00337EED" w:rsidRPr="00E14D2F">
        <w:rPr>
          <w:lang w:val="en-GB"/>
        </w:rPr>
        <w:t>considering</w:t>
      </w:r>
      <w:r w:rsidRPr="00E14D2F">
        <w:rPr>
          <w:lang w:val="en-GB"/>
        </w:rPr>
        <w:t xml:space="preserve"> </w:t>
      </w:r>
      <w:r w:rsidR="00EF5D48" w:rsidRPr="00EF5D48">
        <w:rPr>
          <w:lang w:val="en-GB"/>
        </w:rPr>
        <w:t xml:space="preserve">parameters such as Net Present Cost (NPC), IRR, Levelized Cost of Energy (LCOE), and ROI </w:t>
      </w:r>
      <w:r w:rsidRPr="00E14D2F">
        <w:rPr>
          <w:lang w:val="en-GB"/>
        </w:rPr>
        <w:t>represented in equations (1) to (4) respectively</w:t>
      </w:r>
      <w:r w:rsidR="00755DC9" w:rsidRPr="00E14D2F">
        <w:rPr>
          <w:lang w:val="en-GB"/>
        </w:rPr>
        <w:t>.</w:t>
      </w:r>
    </w:p>
    <w:p w14:paraId="13A3F3E2" w14:textId="77777777" w:rsidR="00D70D6B" w:rsidRDefault="00D70D6B" w:rsidP="00D70D6B">
      <w:pPr>
        <w:pStyle w:val="CETBodytext"/>
      </w:pPr>
      <w:r w:rsidRPr="00D70D6B">
        <w:t>I</w:t>
      </w:r>
      <w:r w:rsidRPr="00D70D6B">
        <w:rPr>
          <w:vertAlign w:val="subscript"/>
        </w:rPr>
        <w:t>t</w:t>
      </w:r>
      <w:r w:rsidRPr="00F92662">
        <w:t xml:space="preserve"> is the Initial Investment, E</w:t>
      </w:r>
      <w:r w:rsidRPr="00D70D6B">
        <w:rPr>
          <w:vertAlign w:val="subscript"/>
        </w:rPr>
        <w:t>ls</w:t>
      </w:r>
      <w:r w:rsidRPr="00F92662">
        <w:t xml:space="preserve"> is the electrical load served, p is the profitability, O&amp;M is the cost of operation and maintenance, </w:t>
      </w:r>
      <w:proofErr w:type="spellStart"/>
      <w:r w:rsidRPr="00F92662">
        <w:t>R</w:t>
      </w:r>
      <w:r w:rsidRPr="00D70D6B">
        <w:rPr>
          <w:vertAlign w:val="subscript"/>
        </w:rPr>
        <w:t>c</w:t>
      </w:r>
      <w:proofErr w:type="spellEnd"/>
      <w:r w:rsidRPr="00D70D6B">
        <w:rPr>
          <w:vertAlign w:val="subscript"/>
        </w:rPr>
        <w:t xml:space="preserve"> </w:t>
      </w:r>
      <w:r w:rsidRPr="00F92662">
        <w:t>is the replacement cost, F</w:t>
      </w:r>
      <w:r w:rsidRPr="00D70D6B">
        <w:rPr>
          <w:vertAlign w:val="subscript"/>
        </w:rPr>
        <w:t xml:space="preserve">c </w:t>
      </w:r>
      <w:r w:rsidRPr="00F92662">
        <w:t xml:space="preserve">is the cost of fuel, </w:t>
      </w:r>
      <w:proofErr w:type="spellStart"/>
      <w:r w:rsidRPr="00F92662">
        <w:t>E</w:t>
      </w:r>
      <w:r w:rsidRPr="00D70D6B">
        <w:rPr>
          <w:vertAlign w:val="subscript"/>
        </w:rPr>
        <w:t>pg</w:t>
      </w:r>
      <w:proofErr w:type="spellEnd"/>
      <w:r w:rsidRPr="00F92662">
        <w:t xml:space="preserve"> is the energy purchased from the grid, </w:t>
      </w:r>
      <w:proofErr w:type="spellStart"/>
      <w:r w:rsidRPr="00F92662">
        <w:t>E</w:t>
      </w:r>
      <w:r w:rsidRPr="00D70D6B">
        <w:rPr>
          <w:vertAlign w:val="subscript"/>
        </w:rPr>
        <w:t>sg</w:t>
      </w:r>
      <w:proofErr w:type="spellEnd"/>
      <w:r w:rsidRPr="00F92662">
        <w:t xml:space="preserve"> is the energy sold to the grid, </w:t>
      </w:r>
      <w:proofErr w:type="spellStart"/>
      <w:r w:rsidRPr="00F92662">
        <w:t>C</w:t>
      </w:r>
      <w:r w:rsidRPr="00D70D6B">
        <w:rPr>
          <w:vertAlign w:val="subscript"/>
        </w:rPr>
        <w:t>salv</w:t>
      </w:r>
      <w:proofErr w:type="spellEnd"/>
      <w:r w:rsidRPr="00F92662">
        <w:t xml:space="preserve"> is the salvage cost, </w:t>
      </w:r>
      <w:proofErr w:type="spellStart"/>
      <w:r w:rsidRPr="00F92662">
        <w:t>A</w:t>
      </w:r>
      <w:r w:rsidRPr="00D70D6B">
        <w:rPr>
          <w:vertAlign w:val="subscript"/>
        </w:rPr>
        <w:t>cf</w:t>
      </w:r>
      <w:proofErr w:type="spellEnd"/>
      <w:r w:rsidRPr="00D70D6B">
        <w:rPr>
          <w:vertAlign w:val="subscript"/>
        </w:rPr>
        <w:t xml:space="preserve"> </w:t>
      </w:r>
      <w:r w:rsidRPr="00F92662">
        <w:t xml:space="preserve">is the annual monetary flow, </w:t>
      </w:r>
      <w:proofErr w:type="spellStart"/>
      <w:r w:rsidRPr="00F92662">
        <w:t>C</w:t>
      </w:r>
      <w:r w:rsidRPr="00D70D6B">
        <w:rPr>
          <w:vertAlign w:val="subscript"/>
        </w:rPr>
        <w:t>bs</w:t>
      </w:r>
      <w:proofErr w:type="spellEnd"/>
      <w:r w:rsidRPr="00D70D6B">
        <w:rPr>
          <w:vertAlign w:val="subscript"/>
        </w:rPr>
        <w:t xml:space="preserve">(ref) </w:t>
      </w:r>
      <w:r w:rsidRPr="00F92662">
        <w:t xml:space="preserve">is the cost of the </w:t>
      </w:r>
      <w:r w:rsidRPr="00F92662">
        <w:lastRenderedPageBreak/>
        <w:t>base system (referenced), P</w:t>
      </w:r>
      <w:r w:rsidRPr="00D70D6B">
        <w:rPr>
          <w:vertAlign w:val="subscript"/>
        </w:rPr>
        <w:t>d</w:t>
      </w:r>
      <w:r w:rsidRPr="00F92662">
        <w:t xml:space="preserve"> </w:t>
      </w:r>
      <w:r>
        <w:t>is the d</w:t>
      </w:r>
      <w:r w:rsidRPr="00F92662">
        <w:t xml:space="preserve">uration of the project, </w:t>
      </w:r>
      <w:proofErr w:type="spellStart"/>
      <w:r w:rsidRPr="00F92662">
        <w:t>A</w:t>
      </w:r>
      <w:r w:rsidRPr="00D70D6B">
        <w:rPr>
          <w:vertAlign w:val="subscript"/>
        </w:rPr>
        <w:t>mf</w:t>
      </w:r>
      <w:proofErr w:type="spellEnd"/>
      <w:r w:rsidRPr="00D70D6B">
        <w:rPr>
          <w:vertAlign w:val="subscript"/>
        </w:rPr>
        <w:t xml:space="preserve">(ref) </w:t>
      </w:r>
      <w:r w:rsidRPr="00F92662">
        <w:t>is the annual monetary flow of the system (referenced) and Cc is the cost of the current system.</w:t>
      </w:r>
    </w:p>
    <w:p w14:paraId="59E62A48" w14:textId="384B0F08" w:rsidR="00755DC9" w:rsidRPr="00A20BF9" w:rsidRDefault="00A20BF9" w:rsidP="00D466EB">
      <w:pPr>
        <w:pStyle w:val="CETBodytext"/>
        <w:rPr>
          <w:lang w:val="en-GB"/>
        </w:rPr>
      </w:pPr>
      <w:r w:rsidRPr="00A20BF9">
        <w:rPr>
          <w:lang w:val="en-GB"/>
        </w:rPr>
        <w:t xml:space="preserve">The quantification </w:t>
      </w:r>
      <w:r w:rsidR="001E26C1" w:rsidRPr="00337EED">
        <w:t>of CO</w:t>
      </w:r>
      <w:r w:rsidR="001E26C1" w:rsidRPr="00F92662">
        <w:rPr>
          <w:vertAlign w:val="subscript"/>
        </w:rPr>
        <w:t xml:space="preserve">2 </w:t>
      </w:r>
      <w:r w:rsidR="001E26C1" w:rsidRPr="00337EED">
        <w:t>e</w:t>
      </w:r>
      <w:r w:rsidR="001E26C1">
        <w:t>quivalent e</w:t>
      </w:r>
      <w:r w:rsidR="001E26C1" w:rsidRPr="00337EED">
        <w:t>missions avoided</w:t>
      </w:r>
      <w:r w:rsidR="001E26C1" w:rsidRPr="00A20BF9">
        <w:rPr>
          <w:lang w:val="en-GB"/>
        </w:rPr>
        <w:t xml:space="preserve"> </w:t>
      </w:r>
      <w:r w:rsidR="001E26C1">
        <w:rPr>
          <w:lang w:val="en-GB"/>
        </w:rPr>
        <w:t>as a measure of</w:t>
      </w:r>
      <w:r w:rsidRPr="00A20BF9">
        <w:rPr>
          <w:lang w:val="en-GB"/>
        </w:rPr>
        <w:t xml:space="preserve"> </w:t>
      </w:r>
      <w:r>
        <w:rPr>
          <w:lang w:val="en-GB"/>
        </w:rPr>
        <w:t>GHG</w:t>
      </w:r>
      <w:r w:rsidRPr="00A20BF9">
        <w:rPr>
          <w:lang w:val="en-GB"/>
        </w:rPr>
        <w:t xml:space="preserve"> was determined using </w:t>
      </w:r>
      <w:r w:rsidR="001E26C1">
        <w:rPr>
          <w:lang w:val="en-GB"/>
        </w:rPr>
        <w:t xml:space="preserve">the </w:t>
      </w:r>
      <w:r w:rsidR="001E26C1" w:rsidRPr="00337EED">
        <w:t>equation (5)</w:t>
      </w:r>
      <w:r w:rsidR="001E26C1">
        <w:t xml:space="preserve">, </w:t>
      </w:r>
      <w:r w:rsidRPr="00A20BF9">
        <w:rPr>
          <w:lang w:val="en-GB"/>
        </w:rPr>
        <w:t>endorsed by the Colombian Energy Mining Planning Unit (UPME) attached to the Ministry of Energy and Energy of Colombia, with the adaptation of the GHG Protocol document and the ISO 14067 standard, which are fundamental for projects and specific measurements of CO</w:t>
      </w:r>
      <w:r w:rsidRPr="001E26C1">
        <w:rPr>
          <w:vertAlign w:val="subscript"/>
          <w:lang w:val="en-GB"/>
        </w:rPr>
        <w:t>2</w:t>
      </w:r>
      <w:r w:rsidRPr="00A20BF9">
        <w:rPr>
          <w:lang w:val="en-GB"/>
        </w:rPr>
        <w:t xml:space="preserve"> emissions produced by generation and consumption of electrical energy (UPME, 2017).</w:t>
      </w:r>
      <w:r w:rsidR="001E26C1">
        <w:rPr>
          <w:lang w:val="en-GB"/>
        </w:rPr>
        <w:t xml:space="preserve"> </w:t>
      </w:r>
      <w:proofErr w:type="spellStart"/>
      <w:r w:rsidR="001E26C1" w:rsidRPr="00D466EB">
        <w:rPr>
          <w:lang w:val="en-GB"/>
        </w:rPr>
        <w:t>A</w:t>
      </w:r>
      <w:r w:rsidR="001E26C1" w:rsidRPr="00D466EB">
        <w:rPr>
          <w:vertAlign w:val="subscript"/>
          <w:lang w:val="en-GB"/>
        </w:rPr>
        <w:t>ec</w:t>
      </w:r>
      <w:proofErr w:type="spellEnd"/>
      <w:r w:rsidR="001E26C1" w:rsidRPr="00D466EB">
        <w:rPr>
          <w:lang w:val="en-GB"/>
        </w:rPr>
        <w:t xml:space="preserve"> is annual energy consumption and Ef is the emission factors (by national Ministry of Mines and Energy).</w:t>
      </w:r>
    </w:p>
    <w:p w14:paraId="0C15C95A" w14:textId="77777777" w:rsidR="00A20BF9" w:rsidRPr="00A20BF9" w:rsidRDefault="00A20BF9" w:rsidP="00D466EB">
      <w:pPr>
        <w:pStyle w:val="CETBodytext"/>
        <w:rPr>
          <w:lang w:val="en-GB"/>
        </w:rPr>
      </w:pPr>
    </w:p>
    <w:tbl>
      <w:tblPr>
        <w:tblStyle w:val="Tablaconcuadrcula"/>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2"/>
        <w:gridCol w:w="1835"/>
        <w:gridCol w:w="41"/>
      </w:tblGrid>
      <w:tr w:rsidR="00755DC9" w14:paraId="6C761B62" w14:textId="77777777" w:rsidTr="00D466EB">
        <w:trPr>
          <w:gridAfter w:val="1"/>
          <w:wAfter w:w="41" w:type="dxa"/>
          <w:trHeight w:val="453"/>
        </w:trPr>
        <w:tc>
          <w:tcPr>
            <w:tcW w:w="6943" w:type="dxa"/>
          </w:tcPr>
          <w:p w14:paraId="6F8C9022" w14:textId="3119422C" w:rsidR="00755DC9" w:rsidRPr="0064531D" w:rsidRDefault="00755DC9" w:rsidP="0064531D">
            <w:pPr>
              <w:rPr>
                <w:szCs w:val="24"/>
              </w:rPr>
            </w:pPr>
            <m:oMathPara>
              <m:oMathParaPr>
                <m:jc m:val="left"/>
              </m:oMathParaPr>
              <m:oMath>
                <m:r>
                  <m:rPr>
                    <m:sty m:val="bi"/>
                  </m:rPr>
                  <w:rPr>
                    <w:rFonts w:ascii="Cambria Math" w:eastAsiaTheme="minorHAnsi" w:hAnsi="Cambria Math"/>
                    <w:szCs w:val="24"/>
                    <w:lang w:val="es-CO"/>
                  </w:rPr>
                  <m:t>NPC</m:t>
                </m:r>
                <m:r>
                  <w:rPr>
                    <w:rFonts w:ascii="Cambria Math" w:hAnsi="Cambria Math"/>
                    <w:szCs w:val="24"/>
                  </w:rPr>
                  <m:t>=</m:t>
                </m:r>
                <m:nary>
                  <m:naryPr>
                    <m:chr m:val="∑"/>
                    <m:limLoc m:val="subSup"/>
                    <m:ctrlPr>
                      <w:rPr>
                        <w:rFonts w:ascii="Cambria Math" w:hAnsi="Cambria Math"/>
                        <w:i/>
                        <w:szCs w:val="24"/>
                      </w:rPr>
                    </m:ctrlPr>
                  </m:naryPr>
                  <m:sub>
                    <m:r>
                      <w:rPr>
                        <w:rFonts w:ascii="Cambria Math" w:hAnsi="Cambria Math"/>
                        <w:szCs w:val="24"/>
                      </w:rPr>
                      <m:t>t=0</m:t>
                    </m:r>
                  </m:sub>
                  <m:sup>
                    <m:r>
                      <w:rPr>
                        <w:rFonts w:ascii="Cambria Math" w:hAnsi="Cambria Math"/>
                        <w:szCs w:val="24"/>
                      </w:rPr>
                      <m:t>t=n</m:t>
                    </m:r>
                  </m:sup>
                  <m:e>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It+Rc+O&amp;M+Fc+Epg</m:t>
                            </m:r>
                          </m:e>
                        </m:d>
                        <m:r>
                          <w:rPr>
                            <w:rFonts w:ascii="Cambria Math" w:hAnsi="Cambria Math"/>
                            <w:szCs w:val="24"/>
                          </w:rPr>
                          <m:t>-(Esg+O&amp;M+Csalv.)</m:t>
                        </m:r>
                      </m:num>
                      <m:den>
                        <m:r>
                          <w:rPr>
                            <w:rFonts w:ascii="Cambria Math" w:hAnsi="Cambria Math"/>
                            <w:szCs w:val="24"/>
                          </w:rPr>
                          <m:t>(1+p</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t</m:t>
                            </m:r>
                          </m:sup>
                        </m:sSup>
                      </m:den>
                    </m:f>
                  </m:e>
                </m:nary>
              </m:oMath>
            </m:oMathPara>
          </w:p>
        </w:tc>
        <w:tc>
          <w:tcPr>
            <w:tcW w:w="1834" w:type="dxa"/>
          </w:tcPr>
          <w:p w14:paraId="6DB52D88" w14:textId="77777777" w:rsidR="00755DC9" w:rsidRDefault="00755DC9" w:rsidP="00D466EB">
            <w:pPr>
              <w:pStyle w:val="CETBodytext"/>
            </w:pPr>
            <w:r w:rsidRPr="00142C0B">
              <w:t>(1)</w:t>
            </w:r>
          </w:p>
          <w:p w14:paraId="62D0683E" w14:textId="77777777" w:rsidR="00EF5D48" w:rsidRDefault="00EF5D48" w:rsidP="00D466EB">
            <w:pPr>
              <w:pStyle w:val="CETBodytext"/>
            </w:pPr>
          </w:p>
          <w:p w14:paraId="7E826BFF" w14:textId="1C0C9BE8" w:rsidR="00EF5D48" w:rsidRPr="00142C0B" w:rsidRDefault="00EF5D48" w:rsidP="00D466EB">
            <w:pPr>
              <w:pStyle w:val="CETBodytext"/>
            </w:pPr>
          </w:p>
        </w:tc>
      </w:tr>
      <w:tr w:rsidR="00EF5D48" w14:paraId="14B7D1D9" w14:textId="77777777" w:rsidTr="00D466EB">
        <w:trPr>
          <w:gridAfter w:val="1"/>
          <w:wAfter w:w="41" w:type="dxa"/>
        </w:trPr>
        <w:tc>
          <w:tcPr>
            <w:tcW w:w="6943" w:type="dxa"/>
          </w:tcPr>
          <w:p w14:paraId="5AC9DFEF" w14:textId="4D463953" w:rsidR="00EF5D48" w:rsidRPr="0064531D" w:rsidRDefault="0064531D" w:rsidP="0064531D">
            <m:oMathPara>
              <m:oMathParaPr>
                <m:jc m:val="left"/>
              </m:oMathParaPr>
              <m:oMath>
                <m:r>
                  <m:rPr>
                    <m:sty m:val="bi"/>
                  </m:rPr>
                  <w:rPr>
                    <w:rFonts w:ascii="Cambria Math" w:hAnsi="Cambria Math"/>
                  </w:rPr>
                  <m:t>IRR</m:t>
                </m:r>
                <m:r>
                  <w:rPr>
                    <w:rFonts w:ascii="Cambria Math" w:hAnsi="Cambria Math"/>
                  </w:rPr>
                  <m:t>=</m:t>
                </m:r>
                <m:nary>
                  <m:naryPr>
                    <m:chr m:val="∑"/>
                    <m:limLoc m:val="subSup"/>
                    <m:ctrlPr>
                      <w:rPr>
                        <w:rFonts w:ascii="Cambria Math" w:hAnsi="Cambria Math"/>
                        <w:i/>
                      </w:rPr>
                    </m:ctrlPr>
                  </m:naryPr>
                  <m:sub>
                    <m:r>
                      <w:rPr>
                        <w:rFonts w:ascii="Cambria Math" w:hAnsi="Cambria Math"/>
                      </w:rPr>
                      <m:t>t=0</m:t>
                    </m:r>
                  </m:sub>
                  <m:sup>
                    <m:r>
                      <w:rPr>
                        <w:rFonts w:ascii="Cambria Math" w:hAnsi="Cambria Math"/>
                      </w:rPr>
                      <m:t>n</m:t>
                    </m:r>
                  </m:sup>
                  <m:e>
                    <m:f>
                      <m:fPr>
                        <m:ctrlPr>
                          <w:rPr>
                            <w:rFonts w:ascii="Cambria Math" w:hAnsi="Cambria Math"/>
                            <w:i/>
                          </w:rPr>
                        </m:ctrlPr>
                      </m:fPr>
                      <m:num>
                        <m:r>
                          <w:rPr>
                            <w:rFonts w:ascii="Cambria Math" w:hAnsi="Cambria Math"/>
                          </w:rPr>
                          <m:t>Acf</m:t>
                        </m:r>
                      </m:num>
                      <m:den>
                        <m:r>
                          <w:rPr>
                            <w:rFonts w:ascii="Cambria Math" w:hAnsi="Cambria Math"/>
                          </w:rPr>
                          <m:t>(1+r</m:t>
                        </m:r>
                        <m:sSup>
                          <m:sSupPr>
                            <m:ctrlPr>
                              <w:rPr>
                                <w:rFonts w:ascii="Cambria Math" w:hAnsi="Cambria Math"/>
                                <w:i/>
                              </w:rPr>
                            </m:ctrlPr>
                          </m:sSupPr>
                          <m:e>
                            <m:r>
                              <w:rPr>
                                <w:rFonts w:ascii="Cambria Math" w:hAnsi="Cambria Math"/>
                              </w:rPr>
                              <m:t>)</m:t>
                            </m:r>
                          </m:e>
                          <m:sup>
                            <m:r>
                              <w:rPr>
                                <w:rFonts w:ascii="Cambria Math" w:hAnsi="Cambria Math"/>
                              </w:rPr>
                              <m:t>n</m:t>
                            </m:r>
                          </m:sup>
                        </m:sSup>
                      </m:den>
                    </m:f>
                    <m:r>
                      <w:rPr>
                        <w:rFonts w:ascii="Cambria Math" w:hAnsi="Cambria Math"/>
                      </w:rPr>
                      <m:t>=0</m:t>
                    </m:r>
                  </m:e>
                </m:nary>
              </m:oMath>
            </m:oMathPara>
          </w:p>
          <w:p w14:paraId="49CC7502" w14:textId="77777777" w:rsidR="00EF5D48" w:rsidRDefault="00EF5D48" w:rsidP="0064531D">
            <w:pPr>
              <w:pStyle w:val="CETBodytext"/>
            </w:pPr>
          </w:p>
        </w:tc>
        <w:tc>
          <w:tcPr>
            <w:tcW w:w="1834" w:type="dxa"/>
          </w:tcPr>
          <w:p w14:paraId="43B1BD4B" w14:textId="0DA0C33F" w:rsidR="00EF5D48" w:rsidRPr="00142C0B" w:rsidRDefault="00EF5D48" w:rsidP="00D466EB">
            <w:pPr>
              <w:pStyle w:val="CETBodytext"/>
            </w:pPr>
            <w:r w:rsidRPr="00142C0B">
              <w:t>(</w:t>
            </w:r>
            <w:r>
              <w:t>2</w:t>
            </w:r>
            <w:r w:rsidRPr="00142C0B">
              <w:t>)</w:t>
            </w:r>
          </w:p>
        </w:tc>
      </w:tr>
      <w:tr w:rsidR="00EF5D48" w:rsidRPr="00142C0B" w14:paraId="76D6CBF9" w14:textId="77777777" w:rsidTr="00D46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632"/>
        </w:trPr>
        <w:tc>
          <w:tcPr>
            <w:tcW w:w="6943" w:type="dxa"/>
            <w:tcBorders>
              <w:top w:val="nil"/>
              <w:left w:val="nil"/>
              <w:bottom w:val="nil"/>
              <w:right w:val="nil"/>
            </w:tcBorders>
          </w:tcPr>
          <w:p w14:paraId="2DD2698C" w14:textId="77777777" w:rsidR="00EF5D48" w:rsidRPr="0064531D" w:rsidRDefault="00EF5D48" w:rsidP="0064531D">
            <m:oMathPara>
              <m:oMathParaPr>
                <m:jc m:val="left"/>
              </m:oMathParaPr>
              <m:oMath>
                <m:r>
                  <m:rPr>
                    <m:sty m:val="bi"/>
                  </m:rPr>
                  <w:rPr>
                    <w:rFonts w:ascii="Cambria Math" w:hAnsi="Cambria Math"/>
                  </w:rPr>
                  <m:t>LCOE</m:t>
                </m:r>
                <m:r>
                  <w:rPr>
                    <w:rFonts w:ascii="Cambria Math" w:hAnsi="Cambria Math"/>
                  </w:rPr>
                  <m:t>=</m:t>
                </m:r>
                <m:f>
                  <m:fPr>
                    <m:ctrlPr>
                      <w:rPr>
                        <w:rFonts w:ascii="Cambria Math" w:hAnsi="Cambria Math"/>
                        <w:i/>
                      </w:rPr>
                    </m:ctrlPr>
                  </m:fPr>
                  <m:num>
                    <m:r>
                      <w:rPr>
                        <w:rFonts w:ascii="Cambria Math" w:hAnsi="Cambria Math"/>
                        <w:szCs w:val="24"/>
                      </w:rPr>
                      <m:t>It+</m:t>
                    </m:r>
                    <m:nary>
                      <m:naryPr>
                        <m:chr m:val="∑"/>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n</m:t>
                        </m:r>
                      </m:sup>
                      <m:e>
                        <m:r>
                          <w:rPr>
                            <w:rFonts w:ascii="Cambria Math" w:hAnsi="Cambria Math"/>
                            <w:szCs w:val="24"/>
                          </w:rPr>
                          <m:t>O&amp;M*(1+p</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n</m:t>
                            </m:r>
                          </m:sup>
                        </m:sSup>
                      </m:e>
                    </m:nary>
                  </m:num>
                  <m:den>
                    <m:r>
                      <w:rPr>
                        <w:rFonts w:ascii="Cambria Math" w:hAnsi="Cambria Math"/>
                      </w:rPr>
                      <m:t>Els</m:t>
                    </m:r>
                    <m:r>
                      <w:rPr>
                        <w:rFonts w:ascii="Cambria Math" w:hAnsi="Cambria Math"/>
                        <w:szCs w:val="24"/>
                      </w:rPr>
                      <m:t>(1+p</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n</m:t>
                        </m:r>
                      </m:sup>
                    </m:sSup>
                  </m:den>
                </m:f>
              </m:oMath>
            </m:oMathPara>
          </w:p>
          <w:p w14:paraId="7C27F69F" w14:textId="77777777" w:rsidR="00EF5D48" w:rsidRDefault="00EF5D48" w:rsidP="0064531D">
            <w:pPr>
              <w:pStyle w:val="CETBodytext"/>
            </w:pPr>
          </w:p>
        </w:tc>
        <w:tc>
          <w:tcPr>
            <w:tcW w:w="1834" w:type="dxa"/>
            <w:tcBorders>
              <w:top w:val="nil"/>
              <w:left w:val="nil"/>
              <w:bottom w:val="nil"/>
              <w:right w:val="nil"/>
            </w:tcBorders>
          </w:tcPr>
          <w:p w14:paraId="242D3F01" w14:textId="032C8468" w:rsidR="00EF5D48" w:rsidRPr="00142C0B" w:rsidRDefault="00EF5D48" w:rsidP="00D466EB">
            <w:pPr>
              <w:pStyle w:val="CETBodytext"/>
            </w:pPr>
            <w:r w:rsidRPr="00142C0B">
              <w:t>(</w:t>
            </w:r>
            <w:r w:rsidR="00D70D6B">
              <w:t>3</w:t>
            </w:r>
            <w:r w:rsidRPr="00142C0B">
              <w:t>)</w:t>
            </w:r>
          </w:p>
        </w:tc>
      </w:tr>
      <w:tr w:rsidR="00BD4E78" w14:paraId="4E88FC23" w14:textId="77777777" w:rsidTr="00D466EB">
        <w:trPr>
          <w:trHeight w:val="116"/>
        </w:trPr>
        <w:tc>
          <w:tcPr>
            <w:tcW w:w="6943" w:type="dxa"/>
          </w:tcPr>
          <w:p w14:paraId="20FDB921" w14:textId="0C7DB446" w:rsidR="00BD4E78" w:rsidRPr="0064531D" w:rsidRDefault="00142C0B" w:rsidP="0064531D">
            <w:pPr>
              <w:spacing w:after="160" w:line="259" w:lineRule="auto"/>
              <w:rPr>
                <w:szCs w:val="24"/>
                <w:lang w:val="es-CO"/>
              </w:rPr>
            </w:pPr>
            <m:oMathPara>
              <m:oMathParaPr>
                <m:jc m:val="left"/>
              </m:oMathParaPr>
              <m:oMath>
                <m:r>
                  <m:rPr>
                    <m:sty m:val="bi"/>
                  </m:rPr>
                  <w:rPr>
                    <w:rFonts w:ascii="Cambria Math" w:eastAsia="Calibri" w:hAnsi="Cambria Math"/>
                    <w:szCs w:val="24"/>
                    <w:lang w:val="es-CO"/>
                  </w:rPr>
                  <m:t>ROI</m:t>
                </m:r>
                <m:r>
                  <w:rPr>
                    <w:rFonts w:ascii="Cambria Math" w:eastAsia="Calibri" w:hAnsi="Cambria Math"/>
                    <w:szCs w:val="24"/>
                    <w:lang w:val="es-CO"/>
                  </w:rPr>
                  <m:t>=</m:t>
                </m:r>
                <m:f>
                  <m:fPr>
                    <m:ctrlPr>
                      <w:rPr>
                        <w:rFonts w:ascii="Cambria Math" w:eastAsia="Calibri" w:hAnsi="Cambria Math"/>
                        <w:i/>
                        <w:szCs w:val="24"/>
                        <w:lang w:val="es-CO"/>
                      </w:rPr>
                    </m:ctrlPr>
                  </m:fPr>
                  <m:num>
                    <m:nary>
                      <m:naryPr>
                        <m:chr m:val="∑"/>
                        <m:limLoc m:val="undOvr"/>
                        <m:ctrlPr>
                          <w:rPr>
                            <w:rFonts w:ascii="Cambria Math" w:eastAsia="Calibri" w:hAnsi="Cambria Math"/>
                            <w:i/>
                            <w:szCs w:val="24"/>
                            <w:lang w:val="es-CO"/>
                          </w:rPr>
                        </m:ctrlPr>
                      </m:naryPr>
                      <m:sub>
                        <m:r>
                          <w:rPr>
                            <w:rFonts w:ascii="Cambria Math" w:eastAsia="Calibri" w:hAnsi="Cambria Math"/>
                            <w:szCs w:val="24"/>
                            <w:lang w:val="es-CO"/>
                          </w:rPr>
                          <m:t>i=0</m:t>
                        </m:r>
                      </m:sub>
                      <m:sup>
                        <m:r>
                          <w:rPr>
                            <w:rFonts w:ascii="Cambria Math" w:eastAsia="Calibri" w:hAnsi="Cambria Math"/>
                            <w:szCs w:val="24"/>
                            <w:lang w:val="es-CO"/>
                          </w:rPr>
                          <m:t>Pd</m:t>
                        </m:r>
                      </m:sup>
                      <m:e>
                        <m:sSub>
                          <m:sSubPr>
                            <m:ctrlPr>
                              <w:rPr>
                                <w:rFonts w:ascii="Cambria Math" w:eastAsia="Calibri" w:hAnsi="Cambria Math"/>
                                <w:i/>
                                <w:szCs w:val="24"/>
                                <w:lang w:val="es-CO"/>
                              </w:rPr>
                            </m:ctrlPr>
                          </m:sSubPr>
                          <m:e>
                            <m:r>
                              <w:rPr>
                                <w:rFonts w:ascii="Cambria Math" w:eastAsia="Calibri" w:hAnsi="Cambria Math"/>
                                <w:szCs w:val="24"/>
                                <w:lang w:val="es-CO"/>
                              </w:rPr>
                              <m:t>Amf</m:t>
                            </m:r>
                          </m:e>
                          <m:sub>
                            <m:r>
                              <w:rPr>
                                <w:rFonts w:ascii="Cambria Math" w:eastAsia="Calibri" w:hAnsi="Cambria Math"/>
                                <w:szCs w:val="24"/>
                                <w:lang w:val="es-CO"/>
                              </w:rPr>
                              <m:t>.(ref.)</m:t>
                            </m:r>
                          </m:sub>
                        </m:sSub>
                        <m:r>
                          <w:rPr>
                            <w:rFonts w:ascii="Cambria Math" w:eastAsia="Calibri" w:hAnsi="Cambria Math"/>
                            <w:szCs w:val="24"/>
                            <w:lang w:val="es-CO"/>
                          </w:rPr>
                          <m:t>-Acf</m:t>
                        </m:r>
                      </m:e>
                    </m:nary>
                  </m:num>
                  <m:den>
                    <m:sSub>
                      <m:sSubPr>
                        <m:ctrlPr>
                          <w:rPr>
                            <w:rFonts w:ascii="Cambria Math" w:eastAsia="Calibri" w:hAnsi="Cambria Math"/>
                            <w:i/>
                            <w:szCs w:val="24"/>
                            <w:lang w:val="es-CO"/>
                          </w:rPr>
                        </m:ctrlPr>
                      </m:sSubPr>
                      <m:e>
                        <m:r>
                          <w:rPr>
                            <w:rFonts w:ascii="Cambria Math" w:eastAsia="Calibri" w:hAnsi="Cambria Math"/>
                            <w:szCs w:val="24"/>
                            <w:lang w:val="es-CO"/>
                          </w:rPr>
                          <m:t>p</m:t>
                        </m:r>
                      </m:e>
                      <m:sub>
                        <m:r>
                          <w:rPr>
                            <w:rFonts w:ascii="Cambria Math" w:eastAsia="Calibri" w:hAnsi="Cambria Math"/>
                            <w:szCs w:val="24"/>
                            <w:lang w:val="es-CO"/>
                          </w:rPr>
                          <m:t>d</m:t>
                        </m:r>
                      </m:sub>
                    </m:sSub>
                    <m:r>
                      <w:rPr>
                        <w:rFonts w:ascii="Cambria Math" w:eastAsia="Calibri" w:hAnsi="Cambria Math"/>
                        <w:szCs w:val="24"/>
                        <w:lang w:val="es-CO"/>
                      </w:rPr>
                      <m:t>(</m:t>
                    </m:r>
                    <m:sSub>
                      <m:sSubPr>
                        <m:ctrlPr>
                          <w:rPr>
                            <w:rFonts w:ascii="Cambria Math" w:eastAsia="Calibri" w:hAnsi="Cambria Math"/>
                            <w:i/>
                            <w:szCs w:val="24"/>
                            <w:lang w:val="es-CO"/>
                          </w:rPr>
                        </m:ctrlPr>
                      </m:sSubPr>
                      <m:e>
                        <m:r>
                          <w:rPr>
                            <w:rFonts w:ascii="Cambria Math" w:eastAsia="Calibri" w:hAnsi="Cambria Math"/>
                            <w:szCs w:val="24"/>
                            <w:lang w:val="es-CO"/>
                          </w:rPr>
                          <m:t>C</m:t>
                        </m:r>
                      </m:e>
                      <m:sub>
                        <m:r>
                          <w:rPr>
                            <w:rFonts w:ascii="Cambria Math" w:eastAsia="Calibri" w:hAnsi="Cambria Math"/>
                            <w:szCs w:val="24"/>
                            <w:lang w:val="es-CO"/>
                          </w:rPr>
                          <m:t>C</m:t>
                        </m:r>
                      </m:sub>
                    </m:sSub>
                    <m:r>
                      <w:rPr>
                        <w:rFonts w:ascii="Cambria Math" w:eastAsia="Calibri" w:hAnsi="Cambria Math"/>
                        <w:szCs w:val="24"/>
                        <w:lang w:val="es-CO"/>
                      </w:rPr>
                      <m:t>-</m:t>
                    </m:r>
                    <m:sSub>
                      <m:sSubPr>
                        <m:ctrlPr>
                          <w:rPr>
                            <w:rFonts w:ascii="Cambria Math" w:eastAsia="Calibri" w:hAnsi="Cambria Math"/>
                            <w:i/>
                            <w:szCs w:val="24"/>
                            <w:lang w:val="es-CO"/>
                          </w:rPr>
                        </m:ctrlPr>
                      </m:sSubPr>
                      <m:e>
                        <m:r>
                          <w:rPr>
                            <w:rFonts w:ascii="Cambria Math" w:eastAsia="Calibri" w:hAnsi="Cambria Math"/>
                            <w:szCs w:val="24"/>
                            <w:lang w:val="es-CO"/>
                          </w:rPr>
                          <m:t>C</m:t>
                        </m:r>
                      </m:e>
                      <m:sub>
                        <m:r>
                          <w:rPr>
                            <w:rFonts w:ascii="Cambria Math" w:eastAsia="Calibri" w:hAnsi="Cambria Math"/>
                            <w:szCs w:val="24"/>
                            <w:lang w:val="es-CO"/>
                          </w:rPr>
                          <m:t>bs</m:t>
                        </m:r>
                        <m:d>
                          <m:dPr>
                            <m:ctrlPr>
                              <w:rPr>
                                <w:rFonts w:ascii="Cambria Math" w:eastAsia="Calibri" w:hAnsi="Cambria Math"/>
                                <w:i/>
                                <w:szCs w:val="24"/>
                                <w:lang w:val="es-CO"/>
                              </w:rPr>
                            </m:ctrlPr>
                          </m:dPr>
                          <m:e>
                            <m:r>
                              <w:rPr>
                                <w:rFonts w:ascii="Cambria Math" w:eastAsia="Calibri" w:hAnsi="Cambria Math"/>
                                <w:szCs w:val="24"/>
                                <w:lang w:val="es-CO"/>
                              </w:rPr>
                              <m:t>ref.</m:t>
                            </m:r>
                          </m:e>
                        </m:d>
                      </m:sub>
                    </m:sSub>
                    <m:r>
                      <w:rPr>
                        <w:rFonts w:ascii="Cambria Math" w:eastAsia="Calibri" w:hAnsi="Cambria Math"/>
                        <w:szCs w:val="24"/>
                        <w:lang w:val="es-CO"/>
                      </w:rPr>
                      <m:t>)</m:t>
                    </m:r>
                  </m:den>
                </m:f>
              </m:oMath>
            </m:oMathPara>
          </w:p>
        </w:tc>
        <w:tc>
          <w:tcPr>
            <w:tcW w:w="1875" w:type="dxa"/>
            <w:gridSpan w:val="2"/>
          </w:tcPr>
          <w:p w14:paraId="40B3D897" w14:textId="7EB4BD7C" w:rsidR="00BD4E78" w:rsidRPr="00142C0B" w:rsidRDefault="00BD4E78" w:rsidP="00D466EB">
            <w:pPr>
              <w:pStyle w:val="CETBodytext"/>
            </w:pPr>
            <w:r w:rsidRPr="00142C0B">
              <w:t>(</w:t>
            </w:r>
            <w:r w:rsidR="00D70D6B">
              <w:t>4</w:t>
            </w:r>
            <w:r w:rsidRPr="00142C0B">
              <w:t>)</w:t>
            </w:r>
          </w:p>
        </w:tc>
      </w:tr>
      <w:tr w:rsidR="00142C0B" w14:paraId="41E77A5F" w14:textId="77777777" w:rsidTr="00D466EB">
        <w:trPr>
          <w:gridAfter w:val="1"/>
          <w:wAfter w:w="41" w:type="dxa"/>
        </w:trPr>
        <w:tc>
          <w:tcPr>
            <w:tcW w:w="6941" w:type="dxa"/>
          </w:tcPr>
          <w:p w14:paraId="4D9E9EF4" w14:textId="4B4E0D18" w:rsidR="00142C0B" w:rsidRPr="00A51240" w:rsidRDefault="00B000C3" w:rsidP="00A51240">
            <m:oMathPara>
              <m:oMathParaPr>
                <m:jc m:val="left"/>
              </m:oMathParaPr>
              <m:oMath>
                <m:r>
                  <m:rPr>
                    <m:sty m:val="bi"/>
                  </m:rPr>
                  <w:rPr>
                    <w:rFonts w:ascii="Cambria Math" w:hAnsi="Cambria Math"/>
                  </w:rPr>
                  <m:t>E</m:t>
                </m:r>
                <m:sSub>
                  <m:sSubPr>
                    <m:ctrlPr>
                      <w:rPr>
                        <w:rFonts w:ascii="Cambria Math" w:hAnsi="Cambria Math"/>
                        <w:b/>
                      </w:rPr>
                    </m:ctrlPr>
                  </m:sSubPr>
                  <m:e>
                    <m:r>
                      <m:rPr>
                        <m:sty m:val="bi"/>
                      </m:rPr>
                      <w:rPr>
                        <w:rFonts w:ascii="Cambria Math" w:hAnsi="Cambria Math"/>
                      </w:rPr>
                      <m:t>co</m:t>
                    </m:r>
                  </m:e>
                  <m:sub>
                    <m:r>
                      <m:rPr>
                        <m:sty m:val="bi"/>
                      </m:rPr>
                      <w:rPr>
                        <w:rFonts w:ascii="Cambria Math" w:hAnsi="Cambria Math"/>
                      </w:rPr>
                      <m:t>2</m:t>
                    </m:r>
                  </m:sub>
                </m:sSub>
                <m:r>
                  <w:rPr>
                    <w:rFonts w:ascii="Cambria Math" w:hAnsi="Cambria Math"/>
                  </w:rPr>
                  <m:t>=</m:t>
                </m:r>
                <m:r>
                  <m:rPr>
                    <m:sty m:val="p"/>
                  </m:rPr>
                  <w:rPr>
                    <w:rFonts w:ascii="Cambria Math" w:hAnsi="Cambria Math"/>
                  </w:rPr>
                  <m:t>Aec</m:t>
                </m:r>
                <m:r>
                  <w:rPr>
                    <w:rFonts w:ascii="Cambria Math" w:hAnsi="Cambria Math"/>
                  </w:rPr>
                  <m:t>*Ef</m:t>
                </m:r>
              </m:oMath>
            </m:oMathPara>
          </w:p>
        </w:tc>
        <w:tc>
          <w:tcPr>
            <w:tcW w:w="1836" w:type="dxa"/>
          </w:tcPr>
          <w:p w14:paraId="5944DD37" w14:textId="11F14817" w:rsidR="00142C0B" w:rsidRDefault="00B000C3" w:rsidP="00D466EB">
            <w:pPr>
              <w:pStyle w:val="CETBodytext"/>
            </w:pPr>
            <w:r>
              <w:t>(</w:t>
            </w:r>
            <w:r w:rsidR="00D70D6B">
              <w:t>5</w:t>
            </w:r>
            <w:r>
              <w:t>)</w:t>
            </w:r>
          </w:p>
        </w:tc>
      </w:tr>
    </w:tbl>
    <w:p w14:paraId="0817720E" w14:textId="2EA60274" w:rsidR="00200854" w:rsidRPr="007635AE" w:rsidRDefault="00832E89" w:rsidP="00200854">
      <w:pPr>
        <w:pStyle w:val="CETHeading1"/>
        <w:tabs>
          <w:tab w:val="clear" w:pos="360"/>
          <w:tab w:val="right" w:pos="7100"/>
        </w:tabs>
        <w:jc w:val="both"/>
        <w:rPr>
          <w:lang w:val="en-GB"/>
        </w:rPr>
      </w:pPr>
      <w:r>
        <w:rPr>
          <w:lang w:val="en-GB"/>
        </w:rPr>
        <w:t>Results</w:t>
      </w:r>
    </w:p>
    <w:p w14:paraId="47455771" w14:textId="30A50DCD" w:rsidR="00200854" w:rsidRPr="00200854" w:rsidRDefault="00200854" w:rsidP="00200854">
      <w:pPr>
        <w:pStyle w:val="CETBodytext"/>
        <w:rPr>
          <w:lang w:val="en-GB"/>
        </w:rPr>
      </w:pPr>
      <w:r w:rsidRPr="00200854">
        <w:rPr>
          <w:lang w:val="en-GB"/>
        </w:rPr>
        <w:t xml:space="preserve">In this session, the results of the </w:t>
      </w:r>
      <w:r w:rsidR="00FA2D74">
        <w:rPr>
          <w:lang w:val="en-GB"/>
        </w:rPr>
        <w:t>HOMER</w:t>
      </w:r>
      <w:r w:rsidRPr="00200854">
        <w:rPr>
          <w:lang w:val="en-GB"/>
        </w:rPr>
        <w:t xml:space="preserve"> simulation for each scenario are presented. The generated energy from each conversion technology, capital cost, operating cost, and financial indicators are provided as alternatives</w:t>
      </w:r>
      <w:r>
        <w:rPr>
          <w:lang w:val="en-GB"/>
        </w:rPr>
        <w:t xml:space="preserve"> (</w:t>
      </w:r>
      <w:r w:rsidRPr="00200854">
        <w:rPr>
          <w:lang w:val="en-GB"/>
        </w:rPr>
        <w:t>combination of energy conversion technologies with the electrical grid).</w:t>
      </w:r>
    </w:p>
    <w:p w14:paraId="04963A06" w14:textId="52E86FF8" w:rsidR="00600535" w:rsidRPr="00337EED" w:rsidRDefault="00677CB9" w:rsidP="00677CB9">
      <w:pPr>
        <w:pStyle w:val="CETheadingx"/>
      </w:pPr>
      <w:r>
        <w:t xml:space="preserve">3.1 </w:t>
      </w:r>
      <w:r w:rsidR="00337EED" w:rsidRPr="00337EED">
        <w:t xml:space="preserve">Analysis and simulation </w:t>
      </w:r>
      <w:bookmarkStart w:id="3" w:name="_Hlk135126101"/>
      <w:r w:rsidR="00337EED" w:rsidRPr="00337EED">
        <w:t xml:space="preserve">of </w:t>
      </w:r>
      <w:r w:rsidR="00403C1C">
        <w:t>the first scenario (saving of 25</w:t>
      </w:r>
      <w:r w:rsidR="00277AF2">
        <w:t xml:space="preserve"> </w:t>
      </w:r>
      <w:r w:rsidR="00403C1C">
        <w:t>%)</w:t>
      </w:r>
      <w:bookmarkEnd w:id="3"/>
    </w:p>
    <w:p w14:paraId="7E297596" w14:textId="23573BDE" w:rsidR="00A51240" w:rsidRDefault="00A51240" w:rsidP="00BB1013">
      <w:pPr>
        <w:pStyle w:val="CETBodytext"/>
      </w:pPr>
      <w:r>
        <w:t xml:space="preserve">Figure 1 </w:t>
      </w:r>
      <w:r w:rsidR="00B43781">
        <w:t>shows</w:t>
      </w:r>
      <w:r>
        <w:t xml:space="preserve"> the energy contributions of different technologies (photovoltaic, wind turbines, batteries, and grid connection) in five hybrid generation alternatives simulated using HOMER Pro. Each alternative is associated with its corresponding NPC, LCOE, and annual O&amp;M costs. Alternative A1 has a total capacity of 136,808 kWh/y, with 123,163 kWh/y from the photovoltaic system. It has an NPC of USD $415,957, an IRR of 10</w:t>
      </w:r>
      <w:r w:rsidR="00370342">
        <w:t xml:space="preserve"> </w:t>
      </w:r>
      <w:r>
        <w:t>%, and a payback time of 13.43 y. Alternative A2 generates a total of 176,617 kWh/y, with 120,179 kWh/y from the photovoltaic system with battery usage and the rest from the grid. It has an NPC of USD $416,275, an IRR of 10</w:t>
      </w:r>
      <w:r w:rsidR="00B43781">
        <w:t xml:space="preserve"> </w:t>
      </w:r>
      <w:r>
        <w:t>%, and a payback time of 13.32 y. Alternatives A3 and A4 rely on grid supply for 126,710 kWh/y and 153,809 kWh/y, respectively. They also incorporate energy generation from the photovoltaic system, with A3 producing 133,256 kWh/y and A4 producing 106,222 kWh/y. Wind turbines contribute an additional 5.57 kWh/y, but due to limited wind resources, this option is deemed impractical. Lastly, alternative A5 solely relies on the existing grid for 100</w:t>
      </w:r>
      <w:r w:rsidR="00B43781">
        <w:t xml:space="preserve"> </w:t>
      </w:r>
      <w:r>
        <w:t>% of the electricity supply, with costs provided by the energy distributor remaining unchanged.</w:t>
      </w:r>
    </w:p>
    <w:p w14:paraId="4C63105C" w14:textId="79F343CE" w:rsidR="00B43781" w:rsidRDefault="00B43781" w:rsidP="00BB1013">
      <w:pPr>
        <w:pStyle w:val="CETBodytext"/>
        <w:rPr>
          <w:lang w:val="en-GB"/>
        </w:rPr>
      </w:pPr>
      <w:r w:rsidRPr="00270CCA">
        <w:rPr>
          <w:lang w:val="en-GB"/>
        </w:rPr>
        <w:t>Table 1 presents the CO</w:t>
      </w:r>
      <w:r w:rsidRPr="009F2CB8">
        <w:rPr>
          <w:vertAlign w:val="subscript"/>
          <w:lang w:val="en-GB"/>
        </w:rPr>
        <w:t>2</w:t>
      </w:r>
      <w:r w:rsidRPr="00270CCA">
        <w:rPr>
          <w:lang w:val="en-GB"/>
        </w:rPr>
        <w:t xml:space="preserve"> emissions associated with each alternative in the</w:t>
      </w:r>
      <w:r>
        <w:rPr>
          <w:lang w:val="en-GB"/>
        </w:rPr>
        <w:t xml:space="preserve"> first</w:t>
      </w:r>
      <w:r w:rsidRPr="00270CCA">
        <w:rPr>
          <w:lang w:val="en-GB"/>
        </w:rPr>
        <w:t xml:space="preserve"> scenario</w:t>
      </w:r>
      <w:r>
        <w:rPr>
          <w:lang w:val="en-GB"/>
        </w:rPr>
        <w:t xml:space="preserve"> and</w:t>
      </w:r>
      <w:r w:rsidRPr="008923AB">
        <w:rPr>
          <w:lang w:val="en-GB"/>
        </w:rPr>
        <w:t xml:space="preserve"> the percentage reduction in equivalent CO</w:t>
      </w:r>
      <w:r w:rsidRPr="008923AB">
        <w:rPr>
          <w:vertAlign w:val="subscript"/>
          <w:lang w:val="en-GB"/>
        </w:rPr>
        <w:t>2</w:t>
      </w:r>
      <w:r w:rsidRPr="008923AB">
        <w:rPr>
          <w:lang w:val="en-GB"/>
        </w:rPr>
        <w:t xml:space="preserve"> emissions with respect to A5</w:t>
      </w:r>
      <w:r w:rsidRPr="00270CCA">
        <w:rPr>
          <w:lang w:val="en-GB"/>
        </w:rPr>
        <w:t>. Alternative A1 emits 93.65 t of CO</w:t>
      </w:r>
      <w:r w:rsidRPr="00422E68">
        <w:rPr>
          <w:vertAlign w:val="subscript"/>
          <w:lang w:val="en-GB"/>
        </w:rPr>
        <w:t>2</w:t>
      </w:r>
      <w:r w:rsidRPr="00270CCA">
        <w:rPr>
          <w:lang w:val="en-GB"/>
        </w:rPr>
        <w:t>eq/y, alternative A2 generates 95.57 t of CO</w:t>
      </w:r>
      <w:r w:rsidRPr="009F2CB8">
        <w:rPr>
          <w:vertAlign w:val="subscript"/>
          <w:lang w:val="en-GB"/>
        </w:rPr>
        <w:t>2</w:t>
      </w:r>
      <w:r w:rsidRPr="00270CCA">
        <w:rPr>
          <w:lang w:val="en-GB"/>
        </w:rPr>
        <w:t xml:space="preserve">eq/y, alternative A3 produces 87.21 </w:t>
      </w:r>
      <w:bookmarkStart w:id="4" w:name="_Hlk139365718"/>
      <w:r w:rsidRPr="00270CCA">
        <w:rPr>
          <w:lang w:val="en-GB"/>
        </w:rPr>
        <w:t>t of CO</w:t>
      </w:r>
      <w:r w:rsidRPr="009F2CB8">
        <w:rPr>
          <w:vertAlign w:val="subscript"/>
          <w:lang w:val="en-GB"/>
        </w:rPr>
        <w:t>2</w:t>
      </w:r>
      <w:r w:rsidRPr="00270CCA">
        <w:rPr>
          <w:lang w:val="en-GB"/>
        </w:rPr>
        <w:t>eq/y</w:t>
      </w:r>
      <w:bookmarkEnd w:id="4"/>
      <w:r w:rsidRPr="00270CCA">
        <w:rPr>
          <w:lang w:val="en-GB"/>
        </w:rPr>
        <w:t>, and alternative A4 results in 104.48 t of CO</w:t>
      </w:r>
      <w:r w:rsidRPr="00422E68">
        <w:rPr>
          <w:vertAlign w:val="subscript"/>
          <w:lang w:val="en-GB"/>
        </w:rPr>
        <w:t>2</w:t>
      </w:r>
      <w:r w:rsidRPr="00270CCA">
        <w:rPr>
          <w:lang w:val="en-GB"/>
        </w:rPr>
        <w:t>eq/y. In comparison, alternative A5 represents the current system with a 25</w:t>
      </w:r>
      <w:r w:rsidR="00A744F5">
        <w:rPr>
          <w:lang w:val="en-GB"/>
        </w:rPr>
        <w:t xml:space="preserve"> </w:t>
      </w:r>
      <w:r w:rsidRPr="00270CCA">
        <w:rPr>
          <w:lang w:val="en-GB"/>
        </w:rPr>
        <w:t>% energy savings and serves as a benchmark for the other alternatives, resulting in 172.101 t of CO</w:t>
      </w:r>
      <w:r w:rsidRPr="009F2CB8">
        <w:rPr>
          <w:vertAlign w:val="subscript"/>
          <w:lang w:val="en-GB"/>
        </w:rPr>
        <w:t>2</w:t>
      </w:r>
      <w:r w:rsidRPr="00270CCA">
        <w:rPr>
          <w:lang w:val="en-GB"/>
        </w:rPr>
        <w:t xml:space="preserve">eq/y. These findings highlight the effectiveness of implementing hybrid systems in reducing </w:t>
      </w:r>
      <w:r>
        <w:rPr>
          <w:lang w:val="en-GB"/>
        </w:rPr>
        <w:t>GHG</w:t>
      </w:r>
      <w:r w:rsidRPr="00270CCA">
        <w:rPr>
          <w:lang w:val="en-GB"/>
        </w:rPr>
        <w:t xml:space="preserve"> emissions.</w:t>
      </w:r>
    </w:p>
    <w:p w14:paraId="7428AB22" w14:textId="77777777" w:rsidR="00FA2D74" w:rsidRDefault="00B05CBB" w:rsidP="00FA2D74">
      <w:pPr>
        <w:pStyle w:val="CETCaption"/>
        <w:rPr>
          <w:rStyle w:val="CETCaptionCarattere"/>
          <w:i/>
        </w:rPr>
      </w:pPr>
      <w:r>
        <w:rPr>
          <w:noProof/>
          <w:lang w:val="es-CO" w:eastAsia="es-CO"/>
        </w:rPr>
        <w:drawing>
          <wp:inline distT="0" distB="0" distL="0" distR="0" wp14:anchorId="45343ECA" wp14:editId="59D2D2B8">
            <wp:extent cx="5505408" cy="920338"/>
            <wp:effectExtent l="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892" t="47008" r="13931" b="34787"/>
                    <a:stretch/>
                  </pic:blipFill>
                  <pic:spPr bwMode="auto">
                    <a:xfrm>
                      <a:off x="0" y="0"/>
                      <a:ext cx="5752731" cy="961683"/>
                    </a:xfrm>
                    <a:prstGeom prst="rect">
                      <a:avLst/>
                    </a:prstGeom>
                    <a:ln>
                      <a:noFill/>
                    </a:ln>
                    <a:extLst>
                      <a:ext uri="{53640926-AAD7-44D8-BBD7-CCE9431645EC}">
                        <a14:shadowObscured xmlns:a14="http://schemas.microsoft.com/office/drawing/2010/main"/>
                      </a:ext>
                    </a:extLst>
                  </pic:spPr>
                </pic:pic>
              </a:graphicData>
            </a:graphic>
          </wp:inline>
        </w:drawing>
      </w:r>
    </w:p>
    <w:p w14:paraId="756A659F" w14:textId="6F4F95E2" w:rsidR="00FA2D74" w:rsidRPr="00FA2D74" w:rsidRDefault="00FC533C" w:rsidP="00FA2D74">
      <w:pPr>
        <w:pStyle w:val="CETCaption"/>
        <w:rPr>
          <w:iCs/>
        </w:rPr>
      </w:pPr>
      <w:r w:rsidRPr="00277AF2">
        <w:rPr>
          <w:rStyle w:val="CETCaptionCarattere"/>
          <w:i/>
        </w:rPr>
        <w:t>Figure 1:</w:t>
      </w:r>
      <w:r w:rsidRPr="00277AF2">
        <w:rPr>
          <w:rStyle w:val="CETCaptionCarattere"/>
          <w:iCs/>
        </w:rPr>
        <w:t xml:space="preserve"> </w:t>
      </w:r>
      <w:r w:rsidRPr="00FA2D74">
        <w:t>Technical</w:t>
      </w:r>
      <w:r w:rsidRPr="00277AF2">
        <w:rPr>
          <w:iCs/>
        </w:rPr>
        <w:t xml:space="preserve"> and financial parameters in the first scenario (25</w:t>
      </w:r>
      <w:r w:rsidR="00277AF2">
        <w:rPr>
          <w:iCs/>
        </w:rPr>
        <w:t xml:space="preserve"> </w:t>
      </w:r>
      <w:r w:rsidRPr="00277AF2">
        <w:rPr>
          <w:iCs/>
        </w:rPr>
        <w:t>% energy savings)</w:t>
      </w:r>
    </w:p>
    <w:p w14:paraId="5BC19DF2" w14:textId="2A0CF64B" w:rsidR="00935D0E" w:rsidRDefault="00337EED" w:rsidP="00277AF2">
      <w:pPr>
        <w:pStyle w:val="CETTabletitle"/>
      </w:pPr>
      <w:r w:rsidRPr="00337EED">
        <w:lastRenderedPageBreak/>
        <w:t xml:space="preserve">Table </w:t>
      </w:r>
      <w:r w:rsidR="00FA388F">
        <w:t>1</w:t>
      </w:r>
      <w:r w:rsidR="00277AF2">
        <w:t>:</w:t>
      </w:r>
      <w:r w:rsidRPr="00337EED">
        <w:t xml:space="preserve"> </w:t>
      </w:r>
      <w:bookmarkStart w:id="5" w:name="_Hlk139364933"/>
      <w:r w:rsidR="008923AB">
        <w:t>CO</w:t>
      </w:r>
      <w:r w:rsidR="008923AB" w:rsidRPr="008923AB">
        <w:rPr>
          <w:vertAlign w:val="subscript"/>
        </w:rPr>
        <w:t>2</w:t>
      </w:r>
      <w:r w:rsidR="008923AB">
        <w:t xml:space="preserve"> e</w:t>
      </w:r>
      <w:r w:rsidRPr="00337EED">
        <w:t>missions</w:t>
      </w:r>
      <w:r w:rsidR="00B43781">
        <w:t xml:space="preserve"> and percentage savings </w:t>
      </w:r>
      <w:r w:rsidR="00B43781" w:rsidRPr="00337EED">
        <w:t>i</w:t>
      </w:r>
      <w:r w:rsidR="00B43781">
        <w:t>n</w:t>
      </w:r>
      <w:r w:rsidRPr="00337EED">
        <w:t xml:space="preserve"> </w:t>
      </w:r>
      <w:r w:rsidR="00B43781" w:rsidRPr="00B43781">
        <w:t>the first scenario's alternatives</w:t>
      </w:r>
      <w:bookmarkEnd w:id="5"/>
      <w:r w:rsidRPr="00337EED">
        <w:t>.</w:t>
      </w:r>
    </w:p>
    <w:tbl>
      <w:tblPr>
        <w:tblW w:w="2917" w:type="dxa"/>
        <w:tblCellMar>
          <w:left w:w="70" w:type="dxa"/>
          <w:right w:w="70" w:type="dxa"/>
        </w:tblCellMar>
        <w:tblLook w:val="04A0" w:firstRow="1" w:lastRow="0" w:firstColumn="1" w:lastColumn="0" w:noHBand="0" w:noVBand="1"/>
      </w:tblPr>
      <w:tblGrid>
        <w:gridCol w:w="1115"/>
        <w:gridCol w:w="1177"/>
        <w:gridCol w:w="625"/>
      </w:tblGrid>
      <w:tr w:rsidR="00A8684E" w:rsidRPr="000D27B3" w14:paraId="775693A6" w14:textId="77777777" w:rsidTr="00B43781">
        <w:trPr>
          <w:trHeight w:val="166"/>
        </w:trPr>
        <w:tc>
          <w:tcPr>
            <w:tcW w:w="1115" w:type="dxa"/>
            <w:tcBorders>
              <w:top w:val="single" w:sz="12" w:space="0" w:color="008000"/>
              <w:left w:val="nil"/>
              <w:bottom w:val="single" w:sz="2" w:space="0" w:color="008000"/>
              <w:right w:val="nil"/>
            </w:tcBorders>
            <w:shd w:val="clear" w:color="auto" w:fill="auto"/>
            <w:noWrap/>
            <w:vAlign w:val="bottom"/>
            <w:hideMark/>
          </w:tcPr>
          <w:p w14:paraId="45C20536" w14:textId="77777777" w:rsidR="00A8684E" w:rsidRPr="000D27B3" w:rsidRDefault="00A8684E" w:rsidP="003D5781">
            <w:pPr>
              <w:pStyle w:val="CETBodytext"/>
              <w:jc w:val="center"/>
              <w:rPr>
                <w:lang w:eastAsia="es-CO"/>
              </w:rPr>
            </w:pPr>
            <w:r w:rsidRPr="000D27B3">
              <w:rPr>
                <w:lang w:eastAsia="es-CO"/>
              </w:rPr>
              <w:t>Alternatives</w:t>
            </w:r>
          </w:p>
        </w:tc>
        <w:tc>
          <w:tcPr>
            <w:tcW w:w="1177" w:type="dxa"/>
            <w:tcBorders>
              <w:top w:val="single" w:sz="12" w:space="0" w:color="008000"/>
              <w:left w:val="nil"/>
              <w:bottom w:val="single" w:sz="2" w:space="0" w:color="008000"/>
              <w:right w:val="nil"/>
            </w:tcBorders>
            <w:shd w:val="clear" w:color="auto" w:fill="auto"/>
            <w:noWrap/>
            <w:vAlign w:val="bottom"/>
            <w:hideMark/>
          </w:tcPr>
          <w:p w14:paraId="3F4EB0B3" w14:textId="77777777" w:rsidR="00A8684E" w:rsidRPr="000D27B3" w:rsidRDefault="00A8684E" w:rsidP="003D5781">
            <w:pPr>
              <w:pStyle w:val="CETBodytext"/>
              <w:jc w:val="center"/>
              <w:rPr>
                <w:lang w:eastAsia="es-CO"/>
              </w:rPr>
            </w:pPr>
            <w:r w:rsidRPr="000D27B3">
              <w:rPr>
                <w:lang w:eastAsia="es-CO"/>
              </w:rPr>
              <w:t>tCO</w:t>
            </w:r>
            <w:r w:rsidRPr="000D27B3">
              <w:rPr>
                <w:vertAlign w:val="subscript"/>
                <w:lang w:eastAsia="es-CO"/>
              </w:rPr>
              <w:t>2</w:t>
            </w:r>
            <w:r w:rsidRPr="000D27B3">
              <w:rPr>
                <w:lang w:eastAsia="es-CO"/>
              </w:rPr>
              <w:t>eq/y</w:t>
            </w:r>
          </w:p>
        </w:tc>
        <w:tc>
          <w:tcPr>
            <w:tcW w:w="625" w:type="dxa"/>
            <w:tcBorders>
              <w:top w:val="single" w:sz="12" w:space="0" w:color="008000"/>
              <w:left w:val="nil"/>
              <w:bottom w:val="single" w:sz="2" w:space="0" w:color="008000"/>
              <w:right w:val="nil"/>
            </w:tcBorders>
            <w:shd w:val="clear" w:color="auto" w:fill="auto"/>
            <w:noWrap/>
            <w:vAlign w:val="bottom"/>
            <w:hideMark/>
          </w:tcPr>
          <w:p w14:paraId="48DD92D3" w14:textId="6628E00C" w:rsidR="00A8684E" w:rsidRPr="000D27B3" w:rsidRDefault="00A8684E" w:rsidP="003D5781">
            <w:pPr>
              <w:pStyle w:val="CETBodytext"/>
              <w:jc w:val="center"/>
              <w:rPr>
                <w:lang w:eastAsia="es-CO"/>
              </w:rPr>
            </w:pPr>
            <w:r w:rsidRPr="000D27B3">
              <w:rPr>
                <w:lang w:eastAsia="es-CO"/>
              </w:rPr>
              <w:t>%</w:t>
            </w:r>
          </w:p>
        </w:tc>
      </w:tr>
      <w:tr w:rsidR="00A8684E" w:rsidRPr="000D27B3" w14:paraId="175C9AF5" w14:textId="77777777" w:rsidTr="003D5781">
        <w:trPr>
          <w:trHeight w:val="269"/>
        </w:trPr>
        <w:tc>
          <w:tcPr>
            <w:tcW w:w="1115" w:type="dxa"/>
            <w:tcBorders>
              <w:top w:val="single" w:sz="2" w:space="0" w:color="008000"/>
              <w:left w:val="nil"/>
              <w:bottom w:val="nil"/>
              <w:right w:val="nil"/>
            </w:tcBorders>
            <w:shd w:val="clear" w:color="auto" w:fill="auto"/>
            <w:noWrap/>
            <w:vAlign w:val="bottom"/>
            <w:hideMark/>
          </w:tcPr>
          <w:p w14:paraId="4F6B2FD4" w14:textId="77777777" w:rsidR="00A8684E" w:rsidRPr="000D27B3" w:rsidRDefault="00A8684E" w:rsidP="003D5781">
            <w:pPr>
              <w:pStyle w:val="CETBodytext"/>
              <w:jc w:val="center"/>
              <w:rPr>
                <w:lang w:eastAsia="es-CO"/>
              </w:rPr>
            </w:pPr>
            <w:r w:rsidRPr="000D27B3">
              <w:rPr>
                <w:lang w:eastAsia="es-CO"/>
              </w:rPr>
              <w:t>A1</w:t>
            </w:r>
          </w:p>
        </w:tc>
        <w:tc>
          <w:tcPr>
            <w:tcW w:w="1177" w:type="dxa"/>
            <w:tcBorders>
              <w:top w:val="single" w:sz="2" w:space="0" w:color="008000"/>
              <w:left w:val="nil"/>
              <w:bottom w:val="nil"/>
              <w:right w:val="nil"/>
            </w:tcBorders>
            <w:shd w:val="clear" w:color="auto" w:fill="auto"/>
            <w:noWrap/>
            <w:vAlign w:val="bottom"/>
            <w:hideMark/>
          </w:tcPr>
          <w:p w14:paraId="5E16C0D7" w14:textId="77777777" w:rsidR="00A8684E" w:rsidRPr="000D27B3" w:rsidRDefault="00A8684E" w:rsidP="003D5781">
            <w:pPr>
              <w:pStyle w:val="CETBodytext"/>
              <w:jc w:val="center"/>
              <w:rPr>
                <w:lang w:eastAsia="es-CO"/>
              </w:rPr>
            </w:pPr>
            <w:r>
              <w:rPr>
                <w:lang w:eastAsia="es-CO"/>
              </w:rPr>
              <w:t>93.</w:t>
            </w:r>
            <w:r w:rsidRPr="000D27B3">
              <w:rPr>
                <w:lang w:eastAsia="es-CO"/>
              </w:rPr>
              <w:t>65</w:t>
            </w:r>
          </w:p>
        </w:tc>
        <w:tc>
          <w:tcPr>
            <w:tcW w:w="625" w:type="dxa"/>
            <w:tcBorders>
              <w:top w:val="single" w:sz="2" w:space="0" w:color="008000"/>
              <w:left w:val="nil"/>
              <w:bottom w:val="nil"/>
              <w:right w:val="nil"/>
            </w:tcBorders>
            <w:shd w:val="clear" w:color="auto" w:fill="auto"/>
            <w:noWrap/>
            <w:vAlign w:val="bottom"/>
            <w:hideMark/>
          </w:tcPr>
          <w:p w14:paraId="29F0D65E" w14:textId="77777777" w:rsidR="00A8684E" w:rsidRPr="000D27B3" w:rsidRDefault="00A8684E" w:rsidP="003D5781">
            <w:pPr>
              <w:pStyle w:val="CETBodytext"/>
              <w:jc w:val="center"/>
              <w:rPr>
                <w:lang w:eastAsia="es-CO"/>
              </w:rPr>
            </w:pPr>
            <w:r w:rsidRPr="000D27B3">
              <w:rPr>
                <w:lang w:eastAsia="es-CO"/>
              </w:rPr>
              <w:t>45.58</w:t>
            </w:r>
          </w:p>
        </w:tc>
      </w:tr>
      <w:tr w:rsidR="002B40B0" w:rsidRPr="000D27B3" w14:paraId="5F8975AC" w14:textId="77777777" w:rsidTr="003D5781">
        <w:trPr>
          <w:trHeight w:val="269"/>
        </w:trPr>
        <w:tc>
          <w:tcPr>
            <w:tcW w:w="1115" w:type="dxa"/>
            <w:tcBorders>
              <w:top w:val="nil"/>
              <w:left w:val="nil"/>
              <w:bottom w:val="nil"/>
              <w:right w:val="nil"/>
            </w:tcBorders>
            <w:shd w:val="clear" w:color="auto" w:fill="auto"/>
            <w:noWrap/>
            <w:vAlign w:val="bottom"/>
            <w:hideMark/>
          </w:tcPr>
          <w:p w14:paraId="56B1756E" w14:textId="77777777" w:rsidR="00A8684E" w:rsidRPr="000D27B3" w:rsidRDefault="00A8684E" w:rsidP="003D5781">
            <w:pPr>
              <w:pStyle w:val="CETBodytext"/>
              <w:jc w:val="center"/>
              <w:rPr>
                <w:lang w:eastAsia="es-CO"/>
              </w:rPr>
            </w:pPr>
            <w:r w:rsidRPr="000D27B3">
              <w:rPr>
                <w:lang w:eastAsia="es-CO"/>
              </w:rPr>
              <w:t>A2</w:t>
            </w:r>
          </w:p>
        </w:tc>
        <w:tc>
          <w:tcPr>
            <w:tcW w:w="1177" w:type="dxa"/>
            <w:tcBorders>
              <w:top w:val="nil"/>
              <w:left w:val="nil"/>
              <w:bottom w:val="nil"/>
              <w:right w:val="nil"/>
            </w:tcBorders>
            <w:shd w:val="clear" w:color="auto" w:fill="auto"/>
            <w:noWrap/>
            <w:vAlign w:val="bottom"/>
            <w:hideMark/>
          </w:tcPr>
          <w:p w14:paraId="70F2E14A" w14:textId="77777777" w:rsidR="00A8684E" w:rsidRPr="000D27B3" w:rsidRDefault="00A8684E" w:rsidP="003D5781">
            <w:pPr>
              <w:pStyle w:val="CETBodytext"/>
              <w:jc w:val="center"/>
              <w:rPr>
                <w:lang w:eastAsia="es-CO"/>
              </w:rPr>
            </w:pPr>
            <w:r>
              <w:rPr>
                <w:lang w:eastAsia="es-CO"/>
              </w:rPr>
              <w:t>95.</w:t>
            </w:r>
            <w:r w:rsidRPr="000D27B3">
              <w:rPr>
                <w:lang w:eastAsia="es-CO"/>
              </w:rPr>
              <w:t>57</w:t>
            </w:r>
          </w:p>
        </w:tc>
        <w:tc>
          <w:tcPr>
            <w:tcW w:w="625" w:type="dxa"/>
            <w:tcBorders>
              <w:top w:val="nil"/>
              <w:left w:val="nil"/>
              <w:bottom w:val="nil"/>
              <w:right w:val="nil"/>
            </w:tcBorders>
            <w:shd w:val="clear" w:color="auto" w:fill="auto"/>
            <w:noWrap/>
            <w:vAlign w:val="bottom"/>
            <w:hideMark/>
          </w:tcPr>
          <w:p w14:paraId="30B9B60A" w14:textId="77777777" w:rsidR="00A8684E" w:rsidRPr="000D27B3" w:rsidRDefault="00A8684E" w:rsidP="003D5781">
            <w:pPr>
              <w:pStyle w:val="CETBodytext"/>
              <w:jc w:val="center"/>
              <w:rPr>
                <w:lang w:eastAsia="es-CO"/>
              </w:rPr>
            </w:pPr>
            <w:r w:rsidRPr="000D27B3">
              <w:rPr>
                <w:lang w:eastAsia="es-CO"/>
              </w:rPr>
              <w:t>44.47</w:t>
            </w:r>
          </w:p>
        </w:tc>
      </w:tr>
      <w:tr w:rsidR="002B40B0" w:rsidRPr="000D27B3" w14:paraId="532C56A0" w14:textId="77777777" w:rsidTr="003D5781">
        <w:trPr>
          <w:trHeight w:val="269"/>
        </w:trPr>
        <w:tc>
          <w:tcPr>
            <w:tcW w:w="1115" w:type="dxa"/>
            <w:tcBorders>
              <w:top w:val="nil"/>
              <w:left w:val="nil"/>
              <w:bottom w:val="nil"/>
              <w:right w:val="nil"/>
            </w:tcBorders>
            <w:shd w:val="clear" w:color="auto" w:fill="auto"/>
            <w:noWrap/>
            <w:vAlign w:val="bottom"/>
            <w:hideMark/>
          </w:tcPr>
          <w:p w14:paraId="377431BC" w14:textId="77777777" w:rsidR="00A8684E" w:rsidRPr="000D27B3" w:rsidRDefault="00A8684E" w:rsidP="003D5781">
            <w:pPr>
              <w:pStyle w:val="CETBodytext"/>
              <w:jc w:val="center"/>
              <w:rPr>
                <w:lang w:eastAsia="es-CO"/>
              </w:rPr>
            </w:pPr>
            <w:r w:rsidRPr="000D27B3">
              <w:rPr>
                <w:lang w:eastAsia="es-CO"/>
              </w:rPr>
              <w:t>A3</w:t>
            </w:r>
          </w:p>
        </w:tc>
        <w:tc>
          <w:tcPr>
            <w:tcW w:w="1177" w:type="dxa"/>
            <w:tcBorders>
              <w:top w:val="nil"/>
              <w:left w:val="nil"/>
              <w:bottom w:val="nil"/>
              <w:right w:val="nil"/>
            </w:tcBorders>
            <w:shd w:val="clear" w:color="auto" w:fill="auto"/>
            <w:noWrap/>
            <w:vAlign w:val="bottom"/>
            <w:hideMark/>
          </w:tcPr>
          <w:p w14:paraId="7FA4C280" w14:textId="77777777" w:rsidR="00A8684E" w:rsidRPr="000D27B3" w:rsidRDefault="00A8684E" w:rsidP="003D5781">
            <w:pPr>
              <w:pStyle w:val="CETBodytext"/>
              <w:jc w:val="center"/>
              <w:rPr>
                <w:lang w:eastAsia="es-CO"/>
              </w:rPr>
            </w:pPr>
            <w:r>
              <w:rPr>
                <w:lang w:eastAsia="es-CO"/>
              </w:rPr>
              <w:t>87.</w:t>
            </w:r>
            <w:r w:rsidRPr="000D27B3">
              <w:rPr>
                <w:lang w:eastAsia="es-CO"/>
              </w:rPr>
              <w:t>21</w:t>
            </w:r>
          </w:p>
        </w:tc>
        <w:tc>
          <w:tcPr>
            <w:tcW w:w="625" w:type="dxa"/>
            <w:tcBorders>
              <w:top w:val="nil"/>
              <w:left w:val="nil"/>
              <w:bottom w:val="nil"/>
              <w:right w:val="nil"/>
            </w:tcBorders>
            <w:shd w:val="clear" w:color="auto" w:fill="auto"/>
            <w:noWrap/>
            <w:vAlign w:val="bottom"/>
            <w:hideMark/>
          </w:tcPr>
          <w:p w14:paraId="6EC69418" w14:textId="77777777" w:rsidR="00A8684E" w:rsidRPr="000D27B3" w:rsidRDefault="00A8684E" w:rsidP="003D5781">
            <w:pPr>
              <w:pStyle w:val="CETBodytext"/>
              <w:jc w:val="center"/>
              <w:rPr>
                <w:lang w:eastAsia="es-CO"/>
              </w:rPr>
            </w:pPr>
            <w:r w:rsidRPr="000D27B3">
              <w:rPr>
                <w:lang w:eastAsia="es-CO"/>
              </w:rPr>
              <w:t>49.33</w:t>
            </w:r>
          </w:p>
        </w:tc>
      </w:tr>
      <w:tr w:rsidR="00A8684E" w:rsidRPr="000D27B3" w14:paraId="6AF4C493" w14:textId="77777777" w:rsidTr="003D5781">
        <w:trPr>
          <w:trHeight w:val="269"/>
        </w:trPr>
        <w:tc>
          <w:tcPr>
            <w:tcW w:w="1115" w:type="dxa"/>
            <w:tcBorders>
              <w:top w:val="nil"/>
              <w:left w:val="nil"/>
              <w:right w:val="nil"/>
            </w:tcBorders>
            <w:shd w:val="clear" w:color="auto" w:fill="auto"/>
            <w:noWrap/>
            <w:vAlign w:val="bottom"/>
            <w:hideMark/>
          </w:tcPr>
          <w:p w14:paraId="67042658" w14:textId="77777777" w:rsidR="00A8684E" w:rsidRPr="000D27B3" w:rsidRDefault="00A8684E" w:rsidP="003D5781">
            <w:pPr>
              <w:pStyle w:val="CETBodytext"/>
              <w:jc w:val="center"/>
              <w:rPr>
                <w:lang w:eastAsia="es-CO"/>
              </w:rPr>
            </w:pPr>
            <w:r w:rsidRPr="000D27B3">
              <w:rPr>
                <w:lang w:eastAsia="es-CO"/>
              </w:rPr>
              <w:t>A4</w:t>
            </w:r>
          </w:p>
        </w:tc>
        <w:tc>
          <w:tcPr>
            <w:tcW w:w="1177" w:type="dxa"/>
            <w:tcBorders>
              <w:top w:val="nil"/>
              <w:left w:val="nil"/>
              <w:right w:val="nil"/>
            </w:tcBorders>
            <w:shd w:val="clear" w:color="auto" w:fill="auto"/>
            <w:noWrap/>
            <w:vAlign w:val="bottom"/>
            <w:hideMark/>
          </w:tcPr>
          <w:p w14:paraId="253FDF3A" w14:textId="77777777" w:rsidR="00A8684E" w:rsidRPr="000D27B3" w:rsidRDefault="00A8684E" w:rsidP="003D5781">
            <w:pPr>
              <w:pStyle w:val="CETBodytext"/>
              <w:jc w:val="center"/>
              <w:rPr>
                <w:lang w:eastAsia="es-CO"/>
              </w:rPr>
            </w:pPr>
            <w:r>
              <w:rPr>
                <w:lang w:eastAsia="es-CO"/>
              </w:rPr>
              <w:t>104.</w:t>
            </w:r>
            <w:r w:rsidRPr="000D27B3">
              <w:rPr>
                <w:lang w:eastAsia="es-CO"/>
              </w:rPr>
              <w:t>48</w:t>
            </w:r>
          </w:p>
        </w:tc>
        <w:tc>
          <w:tcPr>
            <w:tcW w:w="625" w:type="dxa"/>
            <w:tcBorders>
              <w:top w:val="nil"/>
              <w:left w:val="nil"/>
              <w:right w:val="nil"/>
            </w:tcBorders>
            <w:shd w:val="clear" w:color="auto" w:fill="auto"/>
            <w:noWrap/>
            <w:vAlign w:val="bottom"/>
            <w:hideMark/>
          </w:tcPr>
          <w:p w14:paraId="1E638512" w14:textId="77777777" w:rsidR="00A8684E" w:rsidRPr="000D27B3" w:rsidRDefault="00A8684E" w:rsidP="003D5781">
            <w:pPr>
              <w:pStyle w:val="CETBodytext"/>
              <w:jc w:val="center"/>
              <w:rPr>
                <w:lang w:eastAsia="es-CO"/>
              </w:rPr>
            </w:pPr>
            <w:r w:rsidRPr="000D27B3">
              <w:rPr>
                <w:lang w:eastAsia="es-CO"/>
              </w:rPr>
              <w:t>39.29</w:t>
            </w:r>
          </w:p>
        </w:tc>
      </w:tr>
      <w:tr w:rsidR="00A8684E" w:rsidRPr="000D27B3" w14:paraId="483F04A4" w14:textId="77777777" w:rsidTr="003D5781">
        <w:trPr>
          <w:trHeight w:val="269"/>
        </w:trPr>
        <w:tc>
          <w:tcPr>
            <w:tcW w:w="1115" w:type="dxa"/>
            <w:tcBorders>
              <w:top w:val="nil"/>
              <w:left w:val="nil"/>
              <w:bottom w:val="single" w:sz="12" w:space="0" w:color="008000"/>
              <w:right w:val="nil"/>
            </w:tcBorders>
            <w:shd w:val="clear" w:color="auto" w:fill="auto"/>
            <w:noWrap/>
            <w:vAlign w:val="bottom"/>
            <w:hideMark/>
          </w:tcPr>
          <w:p w14:paraId="4B262EB7" w14:textId="77777777" w:rsidR="00A8684E" w:rsidRPr="000D27B3" w:rsidRDefault="00A8684E" w:rsidP="003D5781">
            <w:pPr>
              <w:pStyle w:val="CETBodytext"/>
              <w:jc w:val="center"/>
              <w:rPr>
                <w:lang w:eastAsia="es-CO"/>
              </w:rPr>
            </w:pPr>
            <w:r w:rsidRPr="000D27B3">
              <w:rPr>
                <w:lang w:eastAsia="es-CO"/>
              </w:rPr>
              <w:t>A5</w:t>
            </w:r>
          </w:p>
        </w:tc>
        <w:tc>
          <w:tcPr>
            <w:tcW w:w="1177" w:type="dxa"/>
            <w:tcBorders>
              <w:top w:val="nil"/>
              <w:left w:val="nil"/>
              <w:bottom w:val="single" w:sz="12" w:space="0" w:color="008000"/>
              <w:right w:val="nil"/>
            </w:tcBorders>
            <w:shd w:val="clear" w:color="auto" w:fill="auto"/>
            <w:noWrap/>
            <w:vAlign w:val="bottom"/>
            <w:hideMark/>
          </w:tcPr>
          <w:p w14:paraId="12DB114D" w14:textId="77777777" w:rsidR="00A8684E" w:rsidRPr="000D27B3" w:rsidRDefault="00A8684E" w:rsidP="003D5781">
            <w:pPr>
              <w:pStyle w:val="CETBodytext"/>
              <w:jc w:val="center"/>
              <w:rPr>
                <w:lang w:eastAsia="es-CO"/>
              </w:rPr>
            </w:pPr>
            <w:r>
              <w:rPr>
                <w:lang w:eastAsia="es-CO"/>
              </w:rPr>
              <w:t>172.</w:t>
            </w:r>
            <w:r w:rsidRPr="000D27B3">
              <w:rPr>
                <w:lang w:eastAsia="es-CO"/>
              </w:rPr>
              <w:t>101</w:t>
            </w:r>
          </w:p>
        </w:tc>
        <w:tc>
          <w:tcPr>
            <w:tcW w:w="625" w:type="dxa"/>
            <w:tcBorders>
              <w:top w:val="nil"/>
              <w:left w:val="nil"/>
              <w:bottom w:val="single" w:sz="12" w:space="0" w:color="008000"/>
              <w:right w:val="nil"/>
            </w:tcBorders>
            <w:shd w:val="clear" w:color="auto" w:fill="auto"/>
            <w:noWrap/>
            <w:vAlign w:val="bottom"/>
            <w:hideMark/>
          </w:tcPr>
          <w:p w14:paraId="7933833F" w14:textId="77777777" w:rsidR="00A8684E" w:rsidRPr="000D27B3" w:rsidRDefault="00A8684E" w:rsidP="003D5781">
            <w:pPr>
              <w:pStyle w:val="CETBodytext"/>
              <w:jc w:val="center"/>
              <w:rPr>
                <w:lang w:eastAsia="es-CO"/>
              </w:rPr>
            </w:pPr>
            <w:r w:rsidRPr="000D27B3">
              <w:rPr>
                <w:lang w:eastAsia="es-CO"/>
              </w:rPr>
              <w:t>-</w:t>
            </w:r>
          </w:p>
        </w:tc>
      </w:tr>
    </w:tbl>
    <w:p w14:paraId="4C16ED4E" w14:textId="77777777" w:rsidR="00B43781" w:rsidRDefault="00B43781" w:rsidP="00B43781">
      <w:pPr>
        <w:pStyle w:val="CETBodytext"/>
      </w:pPr>
    </w:p>
    <w:p w14:paraId="592C02DB" w14:textId="6763CBC3" w:rsidR="009F2CB8" w:rsidRPr="00B43781" w:rsidRDefault="00B43781" w:rsidP="009F2CB8">
      <w:pPr>
        <w:pStyle w:val="CETBodytext"/>
        <w:rPr>
          <w:lang w:val="en-GB"/>
        </w:rPr>
      </w:pPr>
      <w:r>
        <w:t>Alternative A1 exhibits the lowest LCOE and NPC among all the alternatives in the first scenario, with an NPC of USD $415,956. The cost breakdown is as follows: 30 % corresponds to the initial capital investment of USD $117,384 required for the installation of the photovoltaic system, while the remaining 70</w:t>
      </w:r>
      <w:r w:rsidR="00370342">
        <w:t xml:space="preserve"> </w:t>
      </w:r>
      <w:r>
        <w:t>% covers the grid supply costs and annual O&amp;M expenses of the renewable system. This alternative achieves a generation capacity where 58.8</w:t>
      </w:r>
      <w:r w:rsidR="00370342">
        <w:t xml:space="preserve"> </w:t>
      </w:r>
      <w:r>
        <w:t>% comes from the grid supply and 41.2 % is generated by the photovoltaic system. Additionally, it results in a reduction of 93.65 t of CO</w:t>
      </w:r>
      <w:r w:rsidRPr="009F2CB8">
        <w:rPr>
          <w:vertAlign w:val="subscript"/>
        </w:rPr>
        <w:t>2</w:t>
      </w:r>
      <w:r>
        <w:t>eq/y in GHG emissions.</w:t>
      </w:r>
    </w:p>
    <w:p w14:paraId="39F50C4F" w14:textId="36F793A8" w:rsidR="007A76F6" w:rsidRPr="00337EED" w:rsidRDefault="00677CB9" w:rsidP="00677CB9">
      <w:pPr>
        <w:pStyle w:val="CETheadingx"/>
      </w:pPr>
      <w:r>
        <w:t xml:space="preserve">3.2 </w:t>
      </w:r>
      <w:r w:rsidR="00337EED" w:rsidRPr="00337EED">
        <w:t xml:space="preserve">Analysis and simulation </w:t>
      </w:r>
      <w:r w:rsidR="00480DFF" w:rsidRPr="00480DFF">
        <w:t xml:space="preserve">of the </w:t>
      </w:r>
      <w:r w:rsidR="00480DFF">
        <w:t>second</w:t>
      </w:r>
      <w:r w:rsidR="00480DFF" w:rsidRPr="00480DFF">
        <w:t xml:space="preserve"> scenario (saving of </w:t>
      </w:r>
      <w:r w:rsidR="00480DFF">
        <w:t>30</w:t>
      </w:r>
      <w:r w:rsidR="00277AF2">
        <w:t xml:space="preserve"> </w:t>
      </w:r>
      <w:r w:rsidR="00480DFF" w:rsidRPr="00480DFF">
        <w:t>%)</w:t>
      </w:r>
    </w:p>
    <w:p w14:paraId="45FEA9EE" w14:textId="2C46B486" w:rsidR="00B43781" w:rsidRDefault="00B43781" w:rsidP="00B43781">
      <w:pPr>
        <w:pStyle w:val="CETBodytext"/>
      </w:pPr>
      <w:r>
        <w:t xml:space="preserve">Figure 2 presents the energy contributions of different conversion technologies in five hybrid generation alternatives simulated using HOMER Pro. Each alternative is accompanied by its respective NPC, LCOE, and annual O&amp;M costs. Alternative A1 generates 144,650 kWh/y from the grid and 97,998 kWh/y from the photovoltaic system, with an NPC of USD $382,159, an IRR of 9.2 %, and a payback time of 14.73 y. Alternative A2 produces 136,462 kWh/y from the grid and 106,222 kWh/y from the photovoltaic system with battery integration, with an NPC of USD $382,670, an IRR of 8.9 %, and a payback time of 15.32 y. Furthermore, alternatives A3 and A4 involve the combination of solar photovoltaic and wind systems, resulting in NPCs ranging from USD $393,787 to $400,639, IRRs from 7.8 % to 8.2 %, and payback times from 17.82 to 16.84 y. However, these alternatives are considered technically unfeasible due to limited wind resource capacity, resulting in a minimal supply of only 5.57 kWh/y. </w:t>
      </w:r>
      <w:r w:rsidR="00370342">
        <w:t>Finally</w:t>
      </w:r>
      <w:r>
        <w:t>, alternative A5 represents the current system, with costs provided by the energy distributor remaining unchanged.</w:t>
      </w:r>
    </w:p>
    <w:p w14:paraId="1A7F06BD" w14:textId="26EA1893" w:rsidR="00B43781" w:rsidRDefault="00B43781" w:rsidP="00B43781">
      <w:pPr>
        <w:pStyle w:val="CETBodytext"/>
        <w:rPr>
          <w:lang w:val="en-GB"/>
        </w:rPr>
      </w:pPr>
      <w:r w:rsidRPr="00CA39A1">
        <w:rPr>
          <w:lang w:val="en-GB"/>
        </w:rPr>
        <w:t xml:space="preserve">Table 2 shows </w:t>
      </w:r>
      <w:bookmarkStart w:id="6" w:name="_Hlk139365455"/>
      <w:r w:rsidRPr="00CA39A1">
        <w:rPr>
          <w:lang w:val="en-GB"/>
        </w:rPr>
        <w:t>the annual reduction in CO</w:t>
      </w:r>
      <w:r w:rsidRPr="00CA39A1">
        <w:rPr>
          <w:vertAlign w:val="subscript"/>
          <w:lang w:val="en-GB"/>
        </w:rPr>
        <w:t xml:space="preserve">2 </w:t>
      </w:r>
      <w:r w:rsidRPr="00CA39A1">
        <w:rPr>
          <w:lang w:val="en-GB"/>
        </w:rPr>
        <w:t xml:space="preserve">equivalent emissions for </w:t>
      </w:r>
      <w:r>
        <w:rPr>
          <w:lang w:val="en-GB"/>
        </w:rPr>
        <w:t>the second</w:t>
      </w:r>
      <w:r w:rsidRPr="00CA39A1">
        <w:rPr>
          <w:lang w:val="en-GB"/>
        </w:rPr>
        <w:t xml:space="preserve"> scenario</w:t>
      </w:r>
      <w:r>
        <w:rPr>
          <w:lang w:val="en-GB"/>
        </w:rPr>
        <w:t xml:space="preserve"> and </w:t>
      </w:r>
      <w:r w:rsidRPr="008923AB">
        <w:rPr>
          <w:lang w:val="en-GB"/>
        </w:rPr>
        <w:t>the percentage reduction in equivalent CO</w:t>
      </w:r>
      <w:r w:rsidRPr="008923AB">
        <w:rPr>
          <w:vertAlign w:val="subscript"/>
          <w:lang w:val="en-GB"/>
        </w:rPr>
        <w:t>2</w:t>
      </w:r>
      <w:r w:rsidRPr="008923AB">
        <w:rPr>
          <w:lang w:val="en-GB"/>
        </w:rPr>
        <w:t xml:space="preserve"> </w:t>
      </w:r>
      <w:bookmarkEnd w:id="6"/>
      <w:r w:rsidRPr="008923AB">
        <w:rPr>
          <w:lang w:val="en-GB"/>
        </w:rPr>
        <w:t>emissions with respect to A5</w:t>
      </w:r>
      <w:r w:rsidRPr="00CA39A1">
        <w:rPr>
          <w:lang w:val="en-GB"/>
        </w:rPr>
        <w:t xml:space="preserve">. Alternative A1 emits 98.21 </w:t>
      </w:r>
      <w:r w:rsidR="00A744F5" w:rsidRPr="00A744F5">
        <w:rPr>
          <w:lang w:val="en-GB"/>
        </w:rPr>
        <w:t>t of CO</w:t>
      </w:r>
      <w:r w:rsidR="00A744F5" w:rsidRPr="00A744F5">
        <w:rPr>
          <w:vertAlign w:val="subscript"/>
          <w:lang w:val="en-GB"/>
        </w:rPr>
        <w:t>2</w:t>
      </w:r>
      <w:r w:rsidR="00A744F5" w:rsidRPr="00A744F5">
        <w:rPr>
          <w:lang w:val="en-GB"/>
        </w:rPr>
        <w:t>eq/y</w:t>
      </w:r>
      <w:r w:rsidRPr="00CA39A1">
        <w:rPr>
          <w:lang w:val="en-GB"/>
        </w:rPr>
        <w:t xml:space="preserve">, alternative A2 generates 92.99 </w:t>
      </w:r>
      <w:r w:rsidR="00A744F5" w:rsidRPr="00A744F5">
        <w:rPr>
          <w:lang w:val="en-GB"/>
        </w:rPr>
        <w:t>t of CO</w:t>
      </w:r>
      <w:r w:rsidR="00A744F5" w:rsidRPr="00A744F5">
        <w:rPr>
          <w:vertAlign w:val="subscript"/>
          <w:lang w:val="en-GB"/>
        </w:rPr>
        <w:t>2</w:t>
      </w:r>
      <w:r w:rsidR="00A744F5" w:rsidRPr="00A744F5">
        <w:rPr>
          <w:lang w:val="en-GB"/>
        </w:rPr>
        <w:t>eq/y</w:t>
      </w:r>
      <w:r w:rsidRPr="00CA39A1">
        <w:rPr>
          <w:lang w:val="en-GB"/>
        </w:rPr>
        <w:t xml:space="preserve">, alternative A3 emits 94.14 </w:t>
      </w:r>
      <w:r w:rsidR="00A744F5" w:rsidRPr="00A744F5">
        <w:rPr>
          <w:lang w:val="en-GB"/>
        </w:rPr>
        <w:t>t of CO</w:t>
      </w:r>
      <w:r w:rsidR="00A744F5" w:rsidRPr="00A744F5">
        <w:rPr>
          <w:vertAlign w:val="subscript"/>
          <w:lang w:val="en-GB"/>
        </w:rPr>
        <w:t>2</w:t>
      </w:r>
      <w:r w:rsidR="00A744F5" w:rsidRPr="00A744F5">
        <w:rPr>
          <w:lang w:val="en-GB"/>
        </w:rPr>
        <w:t>eq/y</w:t>
      </w:r>
      <w:r w:rsidRPr="00CA39A1">
        <w:rPr>
          <w:lang w:val="en-GB"/>
        </w:rPr>
        <w:t xml:space="preserve">, and alternative A4 produces 126.81 </w:t>
      </w:r>
      <w:r w:rsidR="00A744F5" w:rsidRPr="00A744F5">
        <w:rPr>
          <w:lang w:val="en-GB"/>
        </w:rPr>
        <w:t>t of CO</w:t>
      </w:r>
      <w:r w:rsidR="00A744F5" w:rsidRPr="00A744F5">
        <w:rPr>
          <w:vertAlign w:val="subscript"/>
          <w:lang w:val="en-GB"/>
        </w:rPr>
        <w:t>2</w:t>
      </w:r>
      <w:r w:rsidR="00A744F5" w:rsidRPr="00A744F5">
        <w:rPr>
          <w:lang w:val="en-GB"/>
        </w:rPr>
        <w:t>eq/y</w:t>
      </w:r>
      <w:r w:rsidRPr="00CA39A1">
        <w:rPr>
          <w:lang w:val="en-GB"/>
        </w:rPr>
        <w:t xml:space="preserve">. In comparison, alternative A5 serves as a reference point for the others, as it produces 160.63 </w:t>
      </w:r>
      <w:r w:rsidR="00A744F5" w:rsidRPr="00A744F5">
        <w:rPr>
          <w:lang w:val="en-GB"/>
        </w:rPr>
        <w:t>t of CO</w:t>
      </w:r>
      <w:r w:rsidR="00A744F5" w:rsidRPr="00A744F5">
        <w:rPr>
          <w:vertAlign w:val="subscript"/>
          <w:lang w:val="en-GB"/>
        </w:rPr>
        <w:t>2</w:t>
      </w:r>
      <w:r w:rsidR="00A744F5" w:rsidRPr="00A744F5">
        <w:rPr>
          <w:lang w:val="en-GB"/>
        </w:rPr>
        <w:t>eq/y</w:t>
      </w:r>
      <w:r w:rsidR="00A744F5" w:rsidRPr="00CA39A1">
        <w:rPr>
          <w:lang w:val="en-GB"/>
        </w:rPr>
        <w:t xml:space="preserve"> </w:t>
      </w:r>
      <w:r w:rsidRPr="00CA39A1">
        <w:rPr>
          <w:lang w:val="en-GB"/>
        </w:rPr>
        <w:t>under a savings scenario of 30</w:t>
      </w:r>
      <w:r w:rsidR="00A744F5">
        <w:rPr>
          <w:lang w:val="en-GB"/>
        </w:rPr>
        <w:t xml:space="preserve"> </w:t>
      </w:r>
      <w:r w:rsidRPr="00CA39A1">
        <w:rPr>
          <w:lang w:val="en-GB"/>
        </w:rPr>
        <w:t>%.</w:t>
      </w:r>
    </w:p>
    <w:p w14:paraId="3DD0D5CD" w14:textId="55C9F1FE" w:rsidR="00C53B27" w:rsidRPr="009F2CB8" w:rsidRDefault="00B2669A" w:rsidP="009F2CB8">
      <w:pPr>
        <w:pStyle w:val="CETheadingx"/>
        <w:rPr>
          <w:lang w:val="en-US"/>
        </w:rPr>
      </w:pPr>
      <w:r>
        <w:rPr>
          <w:noProof/>
          <w:lang w:val="es-CO" w:eastAsia="es-CO"/>
        </w:rPr>
        <w:drawing>
          <wp:inline distT="0" distB="0" distL="0" distR="0" wp14:anchorId="38AD5B32" wp14:editId="383583DC">
            <wp:extent cx="5450458" cy="914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929" t="31331" r="16872" b="49095"/>
                    <a:stretch/>
                  </pic:blipFill>
                  <pic:spPr bwMode="auto">
                    <a:xfrm>
                      <a:off x="0" y="0"/>
                      <a:ext cx="5506306" cy="923769"/>
                    </a:xfrm>
                    <a:prstGeom prst="rect">
                      <a:avLst/>
                    </a:prstGeom>
                    <a:ln>
                      <a:noFill/>
                    </a:ln>
                    <a:extLst>
                      <a:ext uri="{53640926-AAD7-44D8-BBD7-CCE9431645EC}">
                        <a14:shadowObscured xmlns:a14="http://schemas.microsoft.com/office/drawing/2010/main"/>
                      </a:ext>
                    </a:extLst>
                  </pic:spPr>
                </pic:pic>
              </a:graphicData>
            </a:graphic>
          </wp:inline>
        </w:drawing>
      </w:r>
    </w:p>
    <w:p w14:paraId="391E2666" w14:textId="54D7DB69" w:rsidR="00FA388F" w:rsidRDefault="00FA388F" w:rsidP="00FA388F">
      <w:pPr>
        <w:pStyle w:val="CETCaption"/>
      </w:pPr>
      <w:r w:rsidRPr="00A51240">
        <w:rPr>
          <w:rStyle w:val="CETCaptionCarattere"/>
          <w:i/>
        </w:rPr>
        <w:t>Figure 2:</w:t>
      </w:r>
      <w:r w:rsidRPr="00A51240">
        <w:rPr>
          <w:rStyle w:val="CETCaptionCarattere"/>
          <w:iCs/>
        </w:rPr>
        <w:t xml:space="preserve"> </w:t>
      </w:r>
      <w:r w:rsidRPr="00A51240">
        <w:rPr>
          <w:iCs/>
        </w:rPr>
        <w:t>Technical and financial parameters in the second scenario (30% energy savings</w:t>
      </w:r>
      <w:r w:rsidRPr="00FA388F">
        <w:t>).</w:t>
      </w:r>
    </w:p>
    <w:p w14:paraId="6D45C090" w14:textId="6F6C0405" w:rsidR="00A8684E" w:rsidRDefault="00337EED" w:rsidP="00A8684E">
      <w:pPr>
        <w:pStyle w:val="CETTabletitle"/>
      </w:pPr>
      <w:r w:rsidRPr="00337EED">
        <w:t xml:space="preserve">Table </w:t>
      </w:r>
      <w:r w:rsidR="00FA388F">
        <w:t>2</w:t>
      </w:r>
      <w:r w:rsidR="006E77BA">
        <w:t>:</w:t>
      </w:r>
      <w:r w:rsidRPr="00337EED">
        <w:t xml:space="preserve"> </w:t>
      </w:r>
      <w:r w:rsidR="00B43781" w:rsidRPr="00B43781">
        <w:t>CO</w:t>
      </w:r>
      <w:r w:rsidR="00B43781" w:rsidRPr="00B43781">
        <w:rPr>
          <w:vertAlign w:val="subscript"/>
        </w:rPr>
        <w:t>2</w:t>
      </w:r>
      <w:r w:rsidR="00B43781" w:rsidRPr="00B43781">
        <w:t xml:space="preserve"> emissions and percentage savings in the </w:t>
      </w:r>
      <w:r w:rsidR="00B43781">
        <w:t>second</w:t>
      </w:r>
      <w:r w:rsidR="00B43781" w:rsidRPr="00B43781">
        <w:t xml:space="preserve"> scenario's alternatives</w:t>
      </w:r>
    </w:p>
    <w:tbl>
      <w:tblPr>
        <w:tblW w:w="2881" w:type="dxa"/>
        <w:tblCellMar>
          <w:left w:w="70" w:type="dxa"/>
          <w:right w:w="70" w:type="dxa"/>
        </w:tblCellMar>
        <w:tblLook w:val="04A0" w:firstRow="1" w:lastRow="0" w:firstColumn="1" w:lastColumn="0" w:noHBand="0" w:noVBand="1"/>
      </w:tblPr>
      <w:tblGrid>
        <w:gridCol w:w="1116"/>
        <w:gridCol w:w="1153"/>
        <w:gridCol w:w="612"/>
      </w:tblGrid>
      <w:tr w:rsidR="00A8684E" w:rsidRPr="000D27B3" w14:paraId="49B3265B" w14:textId="77777777" w:rsidTr="00FA2D74">
        <w:trPr>
          <w:trHeight w:val="180"/>
        </w:trPr>
        <w:tc>
          <w:tcPr>
            <w:tcW w:w="1116" w:type="dxa"/>
            <w:tcBorders>
              <w:top w:val="single" w:sz="12" w:space="0" w:color="008000"/>
              <w:left w:val="nil"/>
              <w:bottom w:val="single" w:sz="2" w:space="0" w:color="008000"/>
              <w:right w:val="nil"/>
            </w:tcBorders>
            <w:shd w:val="clear" w:color="auto" w:fill="auto"/>
            <w:noWrap/>
            <w:vAlign w:val="bottom"/>
            <w:hideMark/>
          </w:tcPr>
          <w:p w14:paraId="27F94694" w14:textId="77777777" w:rsidR="00A8684E" w:rsidRPr="000D27B3" w:rsidRDefault="00A8684E" w:rsidP="003D5781">
            <w:pPr>
              <w:pStyle w:val="CETBodytext"/>
              <w:jc w:val="center"/>
              <w:rPr>
                <w:lang w:eastAsia="es-CO"/>
              </w:rPr>
            </w:pPr>
            <w:r w:rsidRPr="000D27B3">
              <w:rPr>
                <w:lang w:eastAsia="es-CO"/>
              </w:rPr>
              <w:t>Alternatives</w:t>
            </w:r>
          </w:p>
        </w:tc>
        <w:tc>
          <w:tcPr>
            <w:tcW w:w="1153" w:type="dxa"/>
            <w:tcBorders>
              <w:top w:val="single" w:sz="12" w:space="0" w:color="008000"/>
              <w:left w:val="nil"/>
              <w:bottom w:val="single" w:sz="2" w:space="0" w:color="008000"/>
              <w:right w:val="nil"/>
            </w:tcBorders>
            <w:shd w:val="clear" w:color="auto" w:fill="auto"/>
            <w:noWrap/>
            <w:vAlign w:val="bottom"/>
            <w:hideMark/>
          </w:tcPr>
          <w:p w14:paraId="211575C2" w14:textId="77777777" w:rsidR="00A8684E" w:rsidRPr="000D27B3" w:rsidRDefault="00A8684E" w:rsidP="003D5781">
            <w:pPr>
              <w:pStyle w:val="CETBodytext"/>
              <w:jc w:val="center"/>
              <w:rPr>
                <w:lang w:eastAsia="es-CO"/>
              </w:rPr>
            </w:pPr>
            <w:r w:rsidRPr="000D27B3">
              <w:rPr>
                <w:lang w:eastAsia="es-CO"/>
              </w:rPr>
              <w:t>tCO</w:t>
            </w:r>
            <w:r w:rsidRPr="000D27B3">
              <w:rPr>
                <w:vertAlign w:val="subscript"/>
                <w:lang w:eastAsia="es-CO"/>
              </w:rPr>
              <w:t>2</w:t>
            </w:r>
            <w:r w:rsidRPr="000D27B3">
              <w:rPr>
                <w:lang w:eastAsia="es-CO"/>
              </w:rPr>
              <w:t>eq/y</w:t>
            </w:r>
          </w:p>
        </w:tc>
        <w:tc>
          <w:tcPr>
            <w:tcW w:w="612" w:type="dxa"/>
            <w:tcBorders>
              <w:top w:val="single" w:sz="12" w:space="0" w:color="008000"/>
              <w:left w:val="nil"/>
              <w:bottom w:val="single" w:sz="2" w:space="0" w:color="008000"/>
              <w:right w:val="nil"/>
            </w:tcBorders>
            <w:shd w:val="clear" w:color="auto" w:fill="auto"/>
            <w:noWrap/>
            <w:vAlign w:val="bottom"/>
            <w:hideMark/>
          </w:tcPr>
          <w:p w14:paraId="4F534CB9" w14:textId="742F03D8" w:rsidR="00A8684E" w:rsidRPr="002948FC" w:rsidRDefault="00A8684E" w:rsidP="003D5781">
            <w:pPr>
              <w:pStyle w:val="CETBodytext"/>
              <w:jc w:val="center"/>
              <w:rPr>
                <w:lang w:eastAsia="es-CO"/>
              </w:rPr>
            </w:pPr>
            <w:r w:rsidRPr="000D27B3">
              <w:rPr>
                <w:lang w:eastAsia="es-CO"/>
              </w:rPr>
              <w:t>%</w:t>
            </w:r>
          </w:p>
        </w:tc>
      </w:tr>
      <w:tr w:rsidR="00A8684E" w:rsidRPr="000D27B3" w14:paraId="6A2CD48F" w14:textId="77777777" w:rsidTr="00A8684E">
        <w:trPr>
          <w:trHeight w:val="267"/>
        </w:trPr>
        <w:tc>
          <w:tcPr>
            <w:tcW w:w="1116" w:type="dxa"/>
            <w:tcBorders>
              <w:top w:val="single" w:sz="2" w:space="0" w:color="008000"/>
              <w:left w:val="nil"/>
              <w:bottom w:val="nil"/>
              <w:right w:val="nil"/>
            </w:tcBorders>
            <w:shd w:val="clear" w:color="auto" w:fill="auto"/>
            <w:noWrap/>
            <w:vAlign w:val="bottom"/>
            <w:hideMark/>
          </w:tcPr>
          <w:p w14:paraId="78D34008" w14:textId="77777777" w:rsidR="00A8684E" w:rsidRPr="000D27B3" w:rsidRDefault="00A8684E" w:rsidP="003D5781">
            <w:pPr>
              <w:pStyle w:val="CETBodytext"/>
              <w:jc w:val="center"/>
              <w:rPr>
                <w:lang w:eastAsia="es-CO"/>
              </w:rPr>
            </w:pPr>
            <w:r w:rsidRPr="000D27B3">
              <w:rPr>
                <w:lang w:eastAsia="es-CO"/>
              </w:rPr>
              <w:t>A1</w:t>
            </w:r>
          </w:p>
        </w:tc>
        <w:tc>
          <w:tcPr>
            <w:tcW w:w="1153" w:type="dxa"/>
            <w:tcBorders>
              <w:top w:val="single" w:sz="2" w:space="0" w:color="008000"/>
              <w:left w:val="nil"/>
              <w:bottom w:val="nil"/>
              <w:right w:val="nil"/>
            </w:tcBorders>
            <w:shd w:val="clear" w:color="auto" w:fill="auto"/>
            <w:noWrap/>
            <w:vAlign w:val="bottom"/>
            <w:hideMark/>
          </w:tcPr>
          <w:p w14:paraId="5B4C5DFA" w14:textId="77777777" w:rsidR="00A8684E" w:rsidRPr="000D27B3" w:rsidRDefault="00A8684E" w:rsidP="003D5781">
            <w:pPr>
              <w:pStyle w:val="CETBodytext"/>
              <w:jc w:val="center"/>
              <w:rPr>
                <w:lang w:eastAsia="es-CO"/>
              </w:rPr>
            </w:pPr>
            <w:r>
              <w:rPr>
                <w:lang w:eastAsia="es-CO"/>
              </w:rPr>
              <w:t>98.21</w:t>
            </w:r>
          </w:p>
        </w:tc>
        <w:tc>
          <w:tcPr>
            <w:tcW w:w="612" w:type="dxa"/>
            <w:tcBorders>
              <w:top w:val="single" w:sz="2" w:space="0" w:color="008000"/>
              <w:left w:val="nil"/>
              <w:bottom w:val="nil"/>
              <w:right w:val="nil"/>
            </w:tcBorders>
            <w:shd w:val="clear" w:color="auto" w:fill="auto"/>
            <w:noWrap/>
            <w:vAlign w:val="bottom"/>
            <w:hideMark/>
          </w:tcPr>
          <w:p w14:paraId="1BBE2F64" w14:textId="7D75D9EE" w:rsidR="00A8684E" w:rsidRPr="000D27B3" w:rsidRDefault="007A2138" w:rsidP="003D5781">
            <w:pPr>
              <w:pStyle w:val="CETBodytext"/>
              <w:jc w:val="center"/>
              <w:rPr>
                <w:lang w:eastAsia="es-CO"/>
              </w:rPr>
            </w:pPr>
            <w:r>
              <w:rPr>
                <w:lang w:eastAsia="es-CO"/>
              </w:rPr>
              <w:t>3</w:t>
            </w:r>
            <w:r w:rsidR="00A8684E">
              <w:rPr>
                <w:lang w:eastAsia="es-CO"/>
              </w:rPr>
              <w:t>8.86</w:t>
            </w:r>
          </w:p>
        </w:tc>
      </w:tr>
      <w:tr w:rsidR="00A8684E" w:rsidRPr="000D27B3" w14:paraId="04E79D55" w14:textId="77777777" w:rsidTr="00A8684E">
        <w:trPr>
          <w:trHeight w:val="267"/>
        </w:trPr>
        <w:tc>
          <w:tcPr>
            <w:tcW w:w="1116" w:type="dxa"/>
            <w:tcBorders>
              <w:top w:val="nil"/>
              <w:left w:val="nil"/>
              <w:bottom w:val="nil"/>
              <w:right w:val="nil"/>
            </w:tcBorders>
            <w:shd w:val="clear" w:color="auto" w:fill="auto"/>
            <w:noWrap/>
            <w:vAlign w:val="bottom"/>
            <w:hideMark/>
          </w:tcPr>
          <w:p w14:paraId="54E36BDB" w14:textId="77777777" w:rsidR="00A8684E" w:rsidRPr="000D27B3" w:rsidRDefault="00A8684E" w:rsidP="003D5781">
            <w:pPr>
              <w:pStyle w:val="CETBodytext"/>
              <w:jc w:val="center"/>
              <w:rPr>
                <w:lang w:eastAsia="es-CO"/>
              </w:rPr>
            </w:pPr>
            <w:r w:rsidRPr="000D27B3">
              <w:rPr>
                <w:lang w:eastAsia="es-CO"/>
              </w:rPr>
              <w:t>A2</w:t>
            </w:r>
          </w:p>
        </w:tc>
        <w:tc>
          <w:tcPr>
            <w:tcW w:w="1153" w:type="dxa"/>
            <w:tcBorders>
              <w:top w:val="nil"/>
              <w:left w:val="nil"/>
              <w:bottom w:val="nil"/>
              <w:right w:val="nil"/>
            </w:tcBorders>
            <w:shd w:val="clear" w:color="auto" w:fill="auto"/>
            <w:noWrap/>
            <w:vAlign w:val="bottom"/>
            <w:hideMark/>
          </w:tcPr>
          <w:p w14:paraId="33AD9EB4" w14:textId="77777777" w:rsidR="00A8684E" w:rsidRPr="000D27B3" w:rsidRDefault="00A8684E" w:rsidP="003D5781">
            <w:pPr>
              <w:pStyle w:val="CETBodytext"/>
              <w:jc w:val="center"/>
              <w:rPr>
                <w:lang w:eastAsia="es-CO"/>
              </w:rPr>
            </w:pPr>
            <w:r>
              <w:rPr>
                <w:lang w:eastAsia="es-CO"/>
              </w:rPr>
              <w:t>92.99</w:t>
            </w:r>
          </w:p>
        </w:tc>
        <w:tc>
          <w:tcPr>
            <w:tcW w:w="612" w:type="dxa"/>
            <w:tcBorders>
              <w:top w:val="nil"/>
              <w:left w:val="nil"/>
              <w:bottom w:val="nil"/>
              <w:right w:val="nil"/>
            </w:tcBorders>
            <w:shd w:val="clear" w:color="auto" w:fill="auto"/>
            <w:noWrap/>
            <w:vAlign w:val="bottom"/>
            <w:hideMark/>
          </w:tcPr>
          <w:p w14:paraId="26AE39AE" w14:textId="77777777" w:rsidR="00A8684E" w:rsidRPr="000D27B3" w:rsidRDefault="00A8684E" w:rsidP="003D5781">
            <w:pPr>
              <w:pStyle w:val="CETBodytext"/>
              <w:jc w:val="center"/>
              <w:rPr>
                <w:lang w:eastAsia="es-CO"/>
              </w:rPr>
            </w:pPr>
            <w:r>
              <w:rPr>
                <w:lang w:eastAsia="es-CO"/>
              </w:rPr>
              <w:t>42.11</w:t>
            </w:r>
          </w:p>
        </w:tc>
      </w:tr>
      <w:tr w:rsidR="00A8684E" w:rsidRPr="000D27B3" w14:paraId="322DD611" w14:textId="77777777" w:rsidTr="00A8684E">
        <w:trPr>
          <w:trHeight w:val="267"/>
        </w:trPr>
        <w:tc>
          <w:tcPr>
            <w:tcW w:w="1116" w:type="dxa"/>
            <w:tcBorders>
              <w:top w:val="nil"/>
              <w:left w:val="nil"/>
              <w:bottom w:val="nil"/>
              <w:right w:val="nil"/>
            </w:tcBorders>
            <w:shd w:val="clear" w:color="auto" w:fill="auto"/>
            <w:noWrap/>
            <w:vAlign w:val="bottom"/>
            <w:hideMark/>
          </w:tcPr>
          <w:p w14:paraId="448B868B" w14:textId="77777777" w:rsidR="00A8684E" w:rsidRPr="000D27B3" w:rsidRDefault="00A8684E" w:rsidP="003D5781">
            <w:pPr>
              <w:pStyle w:val="CETBodytext"/>
              <w:jc w:val="center"/>
              <w:rPr>
                <w:lang w:eastAsia="es-CO"/>
              </w:rPr>
            </w:pPr>
            <w:r w:rsidRPr="000D27B3">
              <w:rPr>
                <w:lang w:eastAsia="es-CO"/>
              </w:rPr>
              <w:t>A3</w:t>
            </w:r>
          </w:p>
        </w:tc>
        <w:tc>
          <w:tcPr>
            <w:tcW w:w="1153" w:type="dxa"/>
            <w:tcBorders>
              <w:top w:val="nil"/>
              <w:left w:val="nil"/>
              <w:bottom w:val="nil"/>
              <w:right w:val="nil"/>
            </w:tcBorders>
            <w:shd w:val="clear" w:color="auto" w:fill="auto"/>
            <w:noWrap/>
            <w:vAlign w:val="bottom"/>
            <w:hideMark/>
          </w:tcPr>
          <w:p w14:paraId="37B552F8" w14:textId="77777777" w:rsidR="00A8684E" w:rsidRPr="000D27B3" w:rsidRDefault="00A8684E" w:rsidP="003D5781">
            <w:pPr>
              <w:pStyle w:val="CETBodytext"/>
              <w:jc w:val="center"/>
              <w:rPr>
                <w:lang w:eastAsia="es-CO"/>
              </w:rPr>
            </w:pPr>
            <w:r>
              <w:rPr>
                <w:lang w:eastAsia="es-CO"/>
              </w:rPr>
              <w:t>94.14</w:t>
            </w:r>
          </w:p>
        </w:tc>
        <w:tc>
          <w:tcPr>
            <w:tcW w:w="612" w:type="dxa"/>
            <w:tcBorders>
              <w:top w:val="nil"/>
              <w:left w:val="nil"/>
              <w:bottom w:val="nil"/>
              <w:right w:val="nil"/>
            </w:tcBorders>
            <w:shd w:val="clear" w:color="auto" w:fill="auto"/>
            <w:noWrap/>
            <w:vAlign w:val="bottom"/>
            <w:hideMark/>
          </w:tcPr>
          <w:p w14:paraId="423CD114" w14:textId="77777777" w:rsidR="00A8684E" w:rsidRPr="000D27B3" w:rsidRDefault="00A8684E" w:rsidP="003D5781">
            <w:pPr>
              <w:pStyle w:val="CETBodytext"/>
              <w:jc w:val="center"/>
              <w:rPr>
                <w:lang w:eastAsia="es-CO"/>
              </w:rPr>
            </w:pPr>
            <w:r>
              <w:rPr>
                <w:lang w:eastAsia="es-CO"/>
              </w:rPr>
              <w:t>41.39</w:t>
            </w:r>
          </w:p>
        </w:tc>
      </w:tr>
      <w:tr w:rsidR="00A8684E" w:rsidRPr="000D27B3" w14:paraId="5F1B1956" w14:textId="77777777" w:rsidTr="00A8684E">
        <w:trPr>
          <w:trHeight w:val="267"/>
        </w:trPr>
        <w:tc>
          <w:tcPr>
            <w:tcW w:w="1116" w:type="dxa"/>
            <w:tcBorders>
              <w:top w:val="nil"/>
              <w:left w:val="nil"/>
              <w:right w:val="nil"/>
            </w:tcBorders>
            <w:shd w:val="clear" w:color="auto" w:fill="auto"/>
            <w:noWrap/>
            <w:vAlign w:val="bottom"/>
            <w:hideMark/>
          </w:tcPr>
          <w:p w14:paraId="237A0FF0" w14:textId="77777777" w:rsidR="00A8684E" w:rsidRPr="000D27B3" w:rsidRDefault="00A8684E" w:rsidP="003D5781">
            <w:pPr>
              <w:pStyle w:val="CETBodytext"/>
              <w:jc w:val="center"/>
              <w:rPr>
                <w:lang w:eastAsia="es-CO"/>
              </w:rPr>
            </w:pPr>
            <w:r w:rsidRPr="000D27B3">
              <w:rPr>
                <w:lang w:eastAsia="es-CO"/>
              </w:rPr>
              <w:t>A4</w:t>
            </w:r>
          </w:p>
        </w:tc>
        <w:tc>
          <w:tcPr>
            <w:tcW w:w="1153" w:type="dxa"/>
            <w:tcBorders>
              <w:top w:val="nil"/>
              <w:left w:val="nil"/>
              <w:right w:val="nil"/>
            </w:tcBorders>
            <w:shd w:val="clear" w:color="auto" w:fill="auto"/>
            <w:noWrap/>
            <w:vAlign w:val="bottom"/>
            <w:hideMark/>
          </w:tcPr>
          <w:p w14:paraId="1CC221C9" w14:textId="77777777" w:rsidR="00A8684E" w:rsidRPr="000D27B3" w:rsidRDefault="00A8684E" w:rsidP="003D5781">
            <w:pPr>
              <w:pStyle w:val="CETBodytext"/>
              <w:jc w:val="center"/>
              <w:rPr>
                <w:lang w:eastAsia="es-CO"/>
              </w:rPr>
            </w:pPr>
            <w:r>
              <w:rPr>
                <w:lang w:eastAsia="es-CO"/>
              </w:rPr>
              <w:t>126.81</w:t>
            </w:r>
          </w:p>
        </w:tc>
        <w:tc>
          <w:tcPr>
            <w:tcW w:w="612" w:type="dxa"/>
            <w:tcBorders>
              <w:top w:val="nil"/>
              <w:left w:val="nil"/>
              <w:right w:val="nil"/>
            </w:tcBorders>
            <w:shd w:val="clear" w:color="auto" w:fill="auto"/>
            <w:noWrap/>
            <w:vAlign w:val="bottom"/>
            <w:hideMark/>
          </w:tcPr>
          <w:p w14:paraId="5E96ED51" w14:textId="77777777" w:rsidR="00A8684E" w:rsidRPr="000D27B3" w:rsidRDefault="00A8684E" w:rsidP="003D5781">
            <w:pPr>
              <w:pStyle w:val="CETBodytext"/>
              <w:jc w:val="center"/>
              <w:rPr>
                <w:lang w:eastAsia="es-CO"/>
              </w:rPr>
            </w:pPr>
            <w:r>
              <w:rPr>
                <w:lang w:eastAsia="es-CO"/>
              </w:rPr>
              <w:t>21.05</w:t>
            </w:r>
          </w:p>
        </w:tc>
      </w:tr>
      <w:tr w:rsidR="00A8684E" w:rsidRPr="000D27B3" w14:paraId="05A95659" w14:textId="77777777" w:rsidTr="00A8684E">
        <w:trPr>
          <w:trHeight w:val="267"/>
        </w:trPr>
        <w:tc>
          <w:tcPr>
            <w:tcW w:w="1116" w:type="dxa"/>
            <w:tcBorders>
              <w:top w:val="nil"/>
              <w:left w:val="nil"/>
              <w:bottom w:val="single" w:sz="12" w:space="0" w:color="008000"/>
              <w:right w:val="nil"/>
            </w:tcBorders>
            <w:shd w:val="clear" w:color="auto" w:fill="auto"/>
            <w:noWrap/>
            <w:vAlign w:val="bottom"/>
            <w:hideMark/>
          </w:tcPr>
          <w:p w14:paraId="2DA7DB13" w14:textId="77777777" w:rsidR="00A8684E" w:rsidRPr="000D27B3" w:rsidRDefault="00A8684E" w:rsidP="003D5781">
            <w:pPr>
              <w:pStyle w:val="CETBodytext"/>
              <w:jc w:val="center"/>
              <w:rPr>
                <w:lang w:eastAsia="es-CO"/>
              </w:rPr>
            </w:pPr>
            <w:r w:rsidRPr="000D27B3">
              <w:rPr>
                <w:lang w:eastAsia="es-CO"/>
              </w:rPr>
              <w:t>A5</w:t>
            </w:r>
          </w:p>
        </w:tc>
        <w:tc>
          <w:tcPr>
            <w:tcW w:w="1153" w:type="dxa"/>
            <w:tcBorders>
              <w:top w:val="nil"/>
              <w:left w:val="nil"/>
              <w:bottom w:val="single" w:sz="12" w:space="0" w:color="008000"/>
              <w:right w:val="nil"/>
            </w:tcBorders>
            <w:shd w:val="clear" w:color="auto" w:fill="auto"/>
            <w:noWrap/>
            <w:vAlign w:val="bottom"/>
            <w:hideMark/>
          </w:tcPr>
          <w:p w14:paraId="1B8C31C9" w14:textId="77777777" w:rsidR="00A8684E" w:rsidRPr="000D27B3" w:rsidRDefault="00A8684E" w:rsidP="003D5781">
            <w:pPr>
              <w:pStyle w:val="CETBodytext"/>
              <w:jc w:val="center"/>
              <w:rPr>
                <w:lang w:eastAsia="es-CO"/>
              </w:rPr>
            </w:pPr>
            <w:r>
              <w:rPr>
                <w:lang w:eastAsia="es-CO"/>
              </w:rPr>
              <w:t>160.63</w:t>
            </w:r>
          </w:p>
        </w:tc>
        <w:tc>
          <w:tcPr>
            <w:tcW w:w="612" w:type="dxa"/>
            <w:tcBorders>
              <w:top w:val="nil"/>
              <w:left w:val="nil"/>
              <w:bottom w:val="single" w:sz="12" w:space="0" w:color="008000"/>
              <w:right w:val="nil"/>
            </w:tcBorders>
            <w:shd w:val="clear" w:color="auto" w:fill="auto"/>
            <w:noWrap/>
            <w:vAlign w:val="bottom"/>
            <w:hideMark/>
          </w:tcPr>
          <w:p w14:paraId="6C5EA33D" w14:textId="77777777" w:rsidR="00A8684E" w:rsidRPr="000D27B3" w:rsidRDefault="00A8684E" w:rsidP="003D5781">
            <w:pPr>
              <w:pStyle w:val="CETBodytext"/>
              <w:jc w:val="center"/>
              <w:rPr>
                <w:lang w:eastAsia="es-CO"/>
              </w:rPr>
            </w:pPr>
            <w:r w:rsidRPr="000D27B3">
              <w:rPr>
                <w:lang w:eastAsia="es-CO"/>
              </w:rPr>
              <w:t>-</w:t>
            </w:r>
          </w:p>
        </w:tc>
      </w:tr>
    </w:tbl>
    <w:p w14:paraId="09170F92" w14:textId="77777777" w:rsidR="00935D0E" w:rsidRDefault="00935D0E" w:rsidP="003601BF">
      <w:pPr>
        <w:pStyle w:val="CETBodytext"/>
        <w:rPr>
          <w:lang w:val="es-CO"/>
        </w:rPr>
      </w:pPr>
    </w:p>
    <w:p w14:paraId="04598FAD" w14:textId="29B22C2F" w:rsidR="00B43781" w:rsidRPr="00B43781" w:rsidRDefault="00B43781" w:rsidP="003601BF">
      <w:pPr>
        <w:pStyle w:val="CETBodytext"/>
        <w:rPr>
          <w:lang w:val="en-GB"/>
        </w:rPr>
      </w:pPr>
      <w:r w:rsidRPr="00CA39A1">
        <w:rPr>
          <w:lang w:val="en-GB"/>
        </w:rPr>
        <w:t>Among all the alternatives, Alt</w:t>
      </w:r>
      <w:r>
        <w:rPr>
          <w:lang w:val="en-GB"/>
        </w:rPr>
        <w:t>ernative A1 exhibits the LCOE</w:t>
      </w:r>
      <w:r w:rsidRPr="00CA39A1">
        <w:rPr>
          <w:lang w:val="en-GB"/>
        </w:rPr>
        <w:t xml:space="preserve"> and </w:t>
      </w:r>
      <w:r>
        <w:rPr>
          <w:lang w:val="en-GB"/>
        </w:rPr>
        <w:t>NPC</w:t>
      </w:r>
      <w:r w:rsidRPr="00CA39A1">
        <w:rPr>
          <w:lang w:val="en-GB"/>
        </w:rPr>
        <w:t xml:space="preserve"> in the hybrid system, totalling USD $382,189. This distribution allocates 23</w:t>
      </w:r>
      <w:r w:rsidR="00A744F5">
        <w:rPr>
          <w:lang w:val="en-GB"/>
        </w:rPr>
        <w:t xml:space="preserve"> </w:t>
      </w:r>
      <w:r w:rsidRPr="00CA39A1">
        <w:rPr>
          <w:lang w:val="en-GB"/>
        </w:rPr>
        <w:t>% to the initial capital investment of USD $93,400, which is required for the installation of the grid-connected photovoltaic system, while the remaining 77</w:t>
      </w:r>
      <w:r>
        <w:rPr>
          <w:lang w:val="en-GB"/>
        </w:rPr>
        <w:t xml:space="preserve"> </w:t>
      </w:r>
      <w:r w:rsidRPr="00CA39A1">
        <w:rPr>
          <w:lang w:val="en-GB"/>
        </w:rPr>
        <w:t xml:space="preserve">% covers grid supply costs and annual </w:t>
      </w:r>
      <w:r>
        <w:rPr>
          <w:lang w:val="en-GB"/>
        </w:rPr>
        <w:t xml:space="preserve">O&amp;M </w:t>
      </w:r>
      <w:r w:rsidRPr="00CA39A1">
        <w:rPr>
          <w:lang w:val="en-GB"/>
        </w:rPr>
        <w:t>expenses of the renewable system. This alternative achieves a generation capacity of 63.5</w:t>
      </w:r>
      <w:r w:rsidR="00A744F5">
        <w:rPr>
          <w:lang w:val="en-GB"/>
        </w:rPr>
        <w:t xml:space="preserve"> </w:t>
      </w:r>
      <w:r w:rsidRPr="00CA39A1">
        <w:rPr>
          <w:lang w:val="en-GB"/>
        </w:rPr>
        <w:t>% from the grid and 36.5</w:t>
      </w:r>
      <w:r w:rsidR="00A744F5">
        <w:rPr>
          <w:lang w:val="en-GB"/>
        </w:rPr>
        <w:t xml:space="preserve"> </w:t>
      </w:r>
      <w:r w:rsidRPr="00CA39A1">
        <w:rPr>
          <w:lang w:val="en-GB"/>
        </w:rPr>
        <w:t xml:space="preserve">% from the photovoltaic system, resulting in a reduction of </w:t>
      </w:r>
      <w:r>
        <w:rPr>
          <w:lang w:val="en-GB"/>
        </w:rPr>
        <w:t>GHG</w:t>
      </w:r>
      <w:r w:rsidRPr="00CA39A1">
        <w:rPr>
          <w:lang w:val="en-GB"/>
        </w:rPr>
        <w:t xml:space="preserve"> emissions to 98.21 </w:t>
      </w:r>
      <w:r w:rsidR="00A744F5" w:rsidRPr="00A744F5">
        <w:rPr>
          <w:lang w:val="en-GB"/>
        </w:rPr>
        <w:t>t of CO</w:t>
      </w:r>
      <w:r w:rsidR="00A744F5" w:rsidRPr="00A744F5">
        <w:rPr>
          <w:vertAlign w:val="subscript"/>
          <w:lang w:val="en-GB"/>
        </w:rPr>
        <w:t>2</w:t>
      </w:r>
      <w:r w:rsidR="00A744F5" w:rsidRPr="00A744F5">
        <w:rPr>
          <w:lang w:val="en-GB"/>
        </w:rPr>
        <w:t>eq/y</w:t>
      </w:r>
      <w:r w:rsidRPr="00CA39A1">
        <w:rPr>
          <w:lang w:val="en-GB"/>
        </w:rPr>
        <w:t>.</w:t>
      </w:r>
    </w:p>
    <w:p w14:paraId="359BEFC3" w14:textId="420B6709" w:rsidR="00480DFF" w:rsidRPr="00337EED" w:rsidRDefault="00677CB9" w:rsidP="00677CB9">
      <w:pPr>
        <w:pStyle w:val="CETheadingx"/>
      </w:pPr>
      <w:r>
        <w:lastRenderedPageBreak/>
        <w:t xml:space="preserve">3.3 </w:t>
      </w:r>
      <w:r w:rsidR="00480DFF" w:rsidRPr="00337EED">
        <w:t xml:space="preserve">Analysis and simulation </w:t>
      </w:r>
      <w:r w:rsidR="00480DFF" w:rsidRPr="00480DFF">
        <w:t xml:space="preserve">of the </w:t>
      </w:r>
      <w:r w:rsidR="00480DFF">
        <w:t>third</w:t>
      </w:r>
      <w:r w:rsidR="00480DFF" w:rsidRPr="00480DFF">
        <w:t xml:space="preserve"> scenario (saving of </w:t>
      </w:r>
      <w:r w:rsidR="00480DFF">
        <w:t>35</w:t>
      </w:r>
      <w:r w:rsidR="006C0213">
        <w:t xml:space="preserve"> </w:t>
      </w:r>
      <w:r w:rsidR="00480DFF" w:rsidRPr="00480DFF">
        <w:t>%)</w:t>
      </w:r>
    </w:p>
    <w:p w14:paraId="3E68CBD3" w14:textId="3355DE38" w:rsidR="00CA39A1" w:rsidRPr="00CA39A1" w:rsidRDefault="00CA39A1" w:rsidP="00CA39A1">
      <w:pPr>
        <w:pStyle w:val="CETBodytext"/>
        <w:rPr>
          <w:lang w:val="en-GB"/>
        </w:rPr>
      </w:pPr>
      <w:r w:rsidRPr="00CA39A1">
        <w:rPr>
          <w:lang w:val="en-GB"/>
        </w:rPr>
        <w:t xml:space="preserve">Figure 3 </w:t>
      </w:r>
      <w:r w:rsidR="00B43781">
        <w:rPr>
          <w:lang w:val="en-GB"/>
        </w:rPr>
        <w:t>illustrates</w:t>
      </w:r>
      <w:r w:rsidR="005573B3" w:rsidRPr="005573B3">
        <w:rPr>
          <w:lang w:val="en-GB"/>
        </w:rPr>
        <w:t xml:space="preserve"> the energy contribution of each conversion technology in five hybrid generation alternatives </w:t>
      </w:r>
      <w:r w:rsidR="00F1575A" w:rsidRPr="00F1575A">
        <w:rPr>
          <w:lang w:val="en-GB"/>
        </w:rPr>
        <w:t xml:space="preserve">result of the </w:t>
      </w:r>
      <w:r w:rsidR="00FA2D74">
        <w:rPr>
          <w:lang w:val="en-GB"/>
        </w:rPr>
        <w:t>HOMER</w:t>
      </w:r>
      <w:r w:rsidR="00F1575A" w:rsidRPr="00F1575A">
        <w:rPr>
          <w:lang w:val="en-GB"/>
        </w:rPr>
        <w:t xml:space="preserve"> Pro simulation</w:t>
      </w:r>
      <w:r w:rsidR="005573B3" w:rsidRPr="005573B3">
        <w:rPr>
          <w:lang w:val="en-GB"/>
        </w:rPr>
        <w:t>, along with their corresponding NPC, LCOE, and annual O&amp;M costs</w:t>
      </w:r>
      <w:r w:rsidRPr="00CA39A1">
        <w:rPr>
          <w:lang w:val="en-GB"/>
        </w:rPr>
        <w:t>. Alternative A1 sets a substantial generation capacity of 169,388 kWh/y from the grid and 55,923 kWh/y from the photovoltaic system. It presents an NPC of USD $390,410 with an impressive IRR of 8.9</w:t>
      </w:r>
      <w:r w:rsidR="00A744F5">
        <w:rPr>
          <w:lang w:val="en-GB"/>
        </w:rPr>
        <w:t xml:space="preserve"> </w:t>
      </w:r>
      <w:r w:rsidRPr="00CA39A1">
        <w:rPr>
          <w:lang w:val="en-GB"/>
        </w:rPr>
        <w:t>%. Furthermore, it exhibits a remarkable capital recovery time of 11.13 y, making it an attractive option for</w:t>
      </w:r>
      <w:r>
        <w:rPr>
          <w:lang w:val="en-GB"/>
        </w:rPr>
        <w:t xml:space="preserve"> sustainable energy investment.</w:t>
      </w:r>
    </w:p>
    <w:p w14:paraId="67322EF6" w14:textId="4E74CC37" w:rsidR="00CA39A1" w:rsidRPr="00CA39A1" w:rsidRDefault="00CA39A1" w:rsidP="00CA39A1">
      <w:pPr>
        <w:pStyle w:val="CETBodytext"/>
        <w:rPr>
          <w:lang w:val="en-GB"/>
        </w:rPr>
      </w:pPr>
      <w:r w:rsidRPr="00CA39A1">
        <w:rPr>
          <w:lang w:val="en-GB"/>
        </w:rPr>
        <w:t>Moving on to alternative A2, it features a considerable contribution of 157,247 kWh/y from the grid and 68,104 kWh/y from the photovoltaic system with battery implementation. With an NPC of USD $390,864 and an IRR of 8.3%, it presents a promising payback time of 11.7</w:t>
      </w:r>
      <w:r>
        <w:rPr>
          <w:lang w:val="en-GB"/>
        </w:rPr>
        <w:t>1 y</w:t>
      </w:r>
      <w:r w:rsidRPr="00CA39A1">
        <w:rPr>
          <w:lang w:val="en-GB"/>
        </w:rPr>
        <w:t>. This alternative demonstrates the feasibility and effectiveness of incorporating battery storage int</w:t>
      </w:r>
      <w:r>
        <w:rPr>
          <w:lang w:val="en-GB"/>
        </w:rPr>
        <w:t>o the hybrid generation system.</w:t>
      </w:r>
    </w:p>
    <w:p w14:paraId="44118040" w14:textId="69FE0289" w:rsidR="00CA39A1" w:rsidRPr="00CA39A1" w:rsidRDefault="00CA39A1" w:rsidP="00CA39A1">
      <w:pPr>
        <w:pStyle w:val="CETBodytext"/>
        <w:rPr>
          <w:lang w:val="en-GB"/>
        </w:rPr>
      </w:pPr>
      <w:r w:rsidRPr="00CA39A1">
        <w:rPr>
          <w:lang w:val="en-GB"/>
        </w:rPr>
        <w:t>In contrast, alternative A3 and A4 present an NPC of USD $401,975 and USD $405,024, respectively, along with an IRR of 6.5</w:t>
      </w:r>
      <w:r w:rsidR="00A744F5">
        <w:rPr>
          <w:lang w:val="en-GB"/>
        </w:rPr>
        <w:t xml:space="preserve"> </w:t>
      </w:r>
      <w:r w:rsidRPr="00CA39A1">
        <w:rPr>
          <w:lang w:val="en-GB"/>
        </w:rPr>
        <w:t>% and 5.8</w:t>
      </w:r>
      <w:r w:rsidR="00A744F5">
        <w:rPr>
          <w:lang w:val="en-GB"/>
        </w:rPr>
        <w:t xml:space="preserve"> </w:t>
      </w:r>
      <w:r w:rsidRPr="00CA39A1">
        <w:rPr>
          <w:lang w:val="en-GB"/>
        </w:rPr>
        <w:t xml:space="preserve">%. These alternatives have a longer capital recovery time of 24.47 </w:t>
      </w:r>
      <w:r>
        <w:rPr>
          <w:lang w:val="en-GB"/>
        </w:rPr>
        <w:t>y</w:t>
      </w:r>
      <w:r w:rsidRPr="00CA39A1">
        <w:rPr>
          <w:lang w:val="en-GB"/>
        </w:rPr>
        <w:t>. While they incorporate both solar photovoltaic and wind systems, the limited wind potential allows for a mere generation of 17 kWh/y, rendering them technically unvi</w:t>
      </w:r>
      <w:r>
        <w:rPr>
          <w:lang w:val="en-GB"/>
        </w:rPr>
        <w:t>able options.</w:t>
      </w:r>
    </w:p>
    <w:p w14:paraId="6E71F116" w14:textId="77777777" w:rsidR="00CA39A1" w:rsidRDefault="00CA39A1" w:rsidP="00CA39A1">
      <w:pPr>
        <w:pStyle w:val="CETBodytext"/>
        <w:rPr>
          <w:lang w:val="en-GB"/>
        </w:rPr>
      </w:pPr>
      <w:r w:rsidRPr="00CA39A1">
        <w:rPr>
          <w:lang w:val="en-GB"/>
        </w:rPr>
        <w:t>Lastly, alternative A5 represents the current system, relying solely on the supply from the network. The costs provided by the energy distributor remain consistent, providing stability and continuity to the energy supply.</w:t>
      </w:r>
    </w:p>
    <w:p w14:paraId="1F3E51F8" w14:textId="391788E5" w:rsidR="001F6C26" w:rsidRPr="00CA39A1" w:rsidRDefault="001F6C26" w:rsidP="00CA39A1">
      <w:pPr>
        <w:pStyle w:val="CETBodytext"/>
        <w:rPr>
          <w:lang w:val="en-GB"/>
        </w:rPr>
      </w:pPr>
      <w:r w:rsidRPr="001F6C26">
        <w:rPr>
          <w:lang w:val="en-GB"/>
        </w:rPr>
        <w:t xml:space="preserve">Table </w:t>
      </w:r>
      <w:r>
        <w:rPr>
          <w:lang w:val="en-GB"/>
        </w:rPr>
        <w:t>3 shows</w:t>
      </w:r>
      <w:r w:rsidRPr="001F6C26">
        <w:rPr>
          <w:lang w:val="en-GB"/>
        </w:rPr>
        <w:t xml:space="preserve"> the annual reduction in CO</w:t>
      </w:r>
      <w:r w:rsidRPr="001F6C26">
        <w:rPr>
          <w:vertAlign w:val="subscript"/>
          <w:lang w:val="en-GB"/>
        </w:rPr>
        <w:t>2</w:t>
      </w:r>
      <w:r w:rsidRPr="001F6C26">
        <w:rPr>
          <w:lang w:val="en-GB"/>
        </w:rPr>
        <w:t xml:space="preserve"> equivalent emissions for the </w:t>
      </w:r>
      <w:r>
        <w:rPr>
          <w:lang w:val="en-GB"/>
        </w:rPr>
        <w:t>third</w:t>
      </w:r>
      <w:r w:rsidRPr="001F6C26">
        <w:rPr>
          <w:lang w:val="en-GB"/>
        </w:rPr>
        <w:t xml:space="preserve"> scenario and the percentage reduction in equivalent CO</w:t>
      </w:r>
      <w:r w:rsidRPr="001F6C26">
        <w:rPr>
          <w:vertAlign w:val="subscript"/>
          <w:lang w:val="en-GB"/>
        </w:rPr>
        <w:t>2</w:t>
      </w:r>
      <w:r w:rsidRPr="001F6C26">
        <w:rPr>
          <w:lang w:val="en-GB"/>
        </w:rPr>
        <w:t xml:space="preserve">. Alternative A1 achieves an impressive reduction to 113.53 t </w:t>
      </w:r>
      <w:r w:rsidR="00A744F5" w:rsidRPr="00A744F5">
        <w:rPr>
          <w:lang w:val="en-GB"/>
        </w:rPr>
        <w:t>of CO</w:t>
      </w:r>
      <w:r w:rsidR="00A744F5" w:rsidRPr="00A744F5">
        <w:rPr>
          <w:vertAlign w:val="subscript"/>
          <w:lang w:val="en-GB"/>
        </w:rPr>
        <w:t>2</w:t>
      </w:r>
      <w:r w:rsidR="00A744F5" w:rsidRPr="00A744F5">
        <w:rPr>
          <w:lang w:val="en-GB"/>
        </w:rPr>
        <w:t>eq/y</w:t>
      </w:r>
      <w:r w:rsidRPr="001F6C26">
        <w:rPr>
          <w:lang w:val="en-GB"/>
        </w:rPr>
        <w:t xml:space="preserve">. Similarly, A2 demonstrates a noteworthy reduction, generating only 105.8 </w:t>
      </w:r>
      <w:r w:rsidR="00A744F5" w:rsidRPr="00A744F5">
        <w:rPr>
          <w:lang w:val="en-GB"/>
        </w:rPr>
        <w:t>t of CO</w:t>
      </w:r>
      <w:r w:rsidR="00A744F5" w:rsidRPr="00A744F5">
        <w:rPr>
          <w:vertAlign w:val="subscript"/>
          <w:lang w:val="en-GB"/>
        </w:rPr>
        <w:t>2</w:t>
      </w:r>
      <w:r w:rsidR="00A744F5" w:rsidRPr="00A744F5">
        <w:rPr>
          <w:lang w:val="en-GB"/>
        </w:rPr>
        <w:t>eq/y</w:t>
      </w:r>
      <w:r w:rsidRPr="001F6C26">
        <w:rPr>
          <w:lang w:val="en-GB"/>
        </w:rPr>
        <w:t xml:space="preserve">. A3 further minimizes emissions to 115.31 </w:t>
      </w:r>
      <w:r w:rsidR="00A744F5" w:rsidRPr="00A744F5">
        <w:rPr>
          <w:lang w:val="en-GB"/>
        </w:rPr>
        <w:t>t of CO</w:t>
      </w:r>
      <w:r w:rsidR="00A744F5" w:rsidRPr="00A744F5">
        <w:rPr>
          <w:vertAlign w:val="subscript"/>
          <w:lang w:val="en-GB"/>
        </w:rPr>
        <w:t>2</w:t>
      </w:r>
      <w:r w:rsidR="00A744F5" w:rsidRPr="00A744F5">
        <w:rPr>
          <w:lang w:val="en-GB"/>
        </w:rPr>
        <w:t>eq/y</w:t>
      </w:r>
      <w:r w:rsidRPr="001F6C26">
        <w:rPr>
          <w:lang w:val="en-GB"/>
        </w:rPr>
        <w:t xml:space="preserve">, </w:t>
      </w:r>
      <w:r>
        <w:rPr>
          <w:lang w:val="en-GB"/>
        </w:rPr>
        <w:t>mean</w:t>
      </w:r>
      <w:r w:rsidRPr="001F6C26">
        <w:rPr>
          <w:lang w:val="en-GB"/>
        </w:rPr>
        <w:t xml:space="preserve">while A4 presents a reduction of 128.87 </w:t>
      </w:r>
      <w:r w:rsidR="00A744F5" w:rsidRPr="00A744F5">
        <w:rPr>
          <w:lang w:val="en-GB"/>
        </w:rPr>
        <w:t>t of CO</w:t>
      </w:r>
      <w:r w:rsidR="00A744F5" w:rsidRPr="00A744F5">
        <w:rPr>
          <w:vertAlign w:val="subscript"/>
          <w:lang w:val="en-GB"/>
        </w:rPr>
        <w:t>2</w:t>
      </w:r>
      <w:r w:rsidR="00A744F5" w:rsidRPr="00A744F5">
        <w:rPr>
          <w:lang w:val="en-GB"/>
        </w:rPr>
        <w:t>eq/y</w:t>
      </w:r>
      <w:r w:rsidRPr="001F6C26">
        <w:rPr>
          <w:lang w:val="en-GB"/>
        </w:rPr>
        <w:t xml:space="preserve">. In comparison, A5, representing the current system, produces 149.16 </w:t>
      </w:r>
      <w:r w:rsidR="00A744F5" w:rsidRPr="00A744F5">
        <w:rPr>
          <w:lang w:val="en-GB"/>
        </w:rPr>
        <w:t>t of CO</w:t>
      </w:r>
      <w:r w:rsidR="00A744F5" w:rsidRPr="00A744F5">
        <w:rPr>
          <w:vertAlign w:val="subscript"/>
          <w:lang w:val="en-GB"/>
        </w:rPr>
        <w:t>2</w:t>
      </w:r>
      <w:r w:rsidR="00A744F5" w:rsidRPr="00A744F5">
        <w:rPr>
          <w:lang w:val="en-GB"/>
        </w:rPr>
        <w:t>eq/y</w:t>
      </w:r>
      <w:r w:rsidRPr="001F6C26">
        <w:rPr>
          <w:lang w:val="en-GB"/>
        </w:rPr>
        <w:t xml:space="preserve">, serving as a vital benchmark. The significant reduction achieved in A1, A2, A3, and A4 highlights the effectiveness of hybrid systems in reducing GHG emissions. Particularly, A2 surpasses the current system by generating 43.36 </w:t>
      </w:r>
      <w:r w:rsidR="00A744F5" w:rsidRPr="00A744F5">
        <w:rPr>
          <w:lang w:val="en-GB"/>
        </w:rPr>
        <w:t>t of CO</w:t>
      </w:r>
      <w:r w:rsidR="00A744F5" w:rsidRPr="00A744F5">
        <w:rPr>
          <w:vertAlign w:val="subscript"/>
          <w:lang w:val="en-GB"/>
        </w:rPr>
        <w:t>2</w:t>
      </w:r>
      <w:r w:rsidR="00A744F5" w:rsidRPr="00A744F5">
        <w:rPr>
          <w:lang w:val="en-GB"/>
        </w:rPr>
        <w:t>eq/y</w:t>
      </w:r>
      <w:r w:rsidR="00A744F5" w:rsidRPr="001F6C26">
        <w:rPr>
          <w:lang w:val="en-GB"/>
        </w:rPr>
        <w:t xml:space="preserve"> </w:t>
      </w:r>
      <w:r w:rsidRPr="001F6C26">
        <w:rPr>
          <w:lang w:val="en-GB"/>
        </w:rPr>
        <w:t>less, emphasizing the advantages of embracing hybrid energy solutions in curbing environmental impact and promoting sustainability.</w:t>
      </w:r>
    </w:p>
    <w:p w14:paraId="243AD108" w14:textId="77777777" w:rsidR="00CA39A1" w:rsidRPr="00CA39A1" w:rsidRDefault="00CA39A1" w:rsidP="00CA39A1">
      <w:pPr>
        <w:pStyle w:val="CETBodytext"/>
        <w:rPr>
          <w:lang w:val="en-GB"/>
        </w:rPr>
      </w:pPr>
    </w:p>
    <w:p w14:paraId="5CF11C58" w14:textId="704C3ECD" w:rsidR="00CD3EF3" w:rsidRDefault="001B34DB" w:rsidP="00B32ADA">
      <w:pPr>
        <w:pStyle w:val="CETBodytext"/>
        <w:rPr>
          <w:lang w:val="es-CO"/>
        </w:rPr>
      </w:pPr>
      <w:r>
        <w:rPr>
          <w:noProof/>
          <w:lang w:val="es-CO" w:eastAsia="es-CO"/>
        </w:rPr>
        <w:drawing>
          <wp:inline distT="0" distB="0" distL="0" distR="0" wp14:anchorId="38123DA0" wp14:editId="0A539094">
            <wp:extent cx="5542040" cy="914400"/>
            <wp:effectExtent l="0" t="0" r="190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3999" t="27506" r="13090" b="53553"/>
                    <a:stretch/>
                  </pic:blipFill>
                  <pic:spPr bwMode="auto">
                    <a:xfrm>
                      <a:off x="0" y="0"/>
                      <a:ext cx="5600631" cy="924067"/>
                    </a:xfrm>
                    <a:prstGeom prst="rect">
                      <a:avLst/>
                    </a:prstGeom>
                    <a:ln>
                      <a:noFill/>
                    </a:ln>
                    <a:extLst>
                      <a:ext uri="{53640926-AAD7-44D8-BBD7-CCE9431645EC}">
                        <a14:shadowObscured xmlns:a14="http://schemas.microsoft.com/office/drawing/2010/main"/>
                      </a:ext>
                    </a:extLst>
                  </pic:spPr>
                </pic:pic>
              </a:graphicData>
            </a:graphic>
          </wp:inline>
        </w:drawing>
      </w:r>
    </w:p>
    <w:p w14:paraId="38234C5D" w14:textId="3AA84BB2" w:rsidR="00FA388F" w:rsidRPr="003E1EB9" w:rsidRDefault="00FA388F" w:rsidP="00401B25">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sidRPr="00677CB9">
        <w:t>Technical and fi</w:t>
      </w:r>
      <w:r>
        <w:t xml:space="preserve">nancial parameters in the third </w:t>
      </w:r>
      <w:r w:rsidRPr="00677CB9">
        <w:t>scenario (3</w:t>
      </w:r>
      <w:r>
        <w:t>5</w:t>
      </w:r>
      <w:r w:rsidR="006E77BA">
        <w:t xml:space="preserve"> </w:t>
      </w:r>
      <w:r w:rsidRPr="00677CB9">
        <w:t>% energy savings).</w:t>
      </w:r>
    </w:p>
    <w:p w14:paraId="7DE661DA" w14:textId="3804EB9E" w:rsidR="008149A5" w:rsidRPr="00A2289C" w:rsidRDefault="003E1EB9" w:rsidP="00A2289C">
      <w:pPr>
        <w:pStyle w:val="CETTabletitle"/>
        <w:rPr>
          <w:i w:val="0"/>
        </w:rPr>
      </w:pPr>
      <w:r w:rsidRPr="003E1EB9">
        <w:t xml:space="preserve">Table </w:t>
      </w:r>
      <w:r w:rsidR="00FA388F">
        <w:t>3</w:t>
      </w:r>
      <w:r w:rsidR="006E77BA">
        <w:t>:</w:t>
      </w:r>
      <w:r w:rsidRPr="003E1EB9">
        <w:t xml:space="preserve"> </w:t>
      </w:r>
      <w:r w:rsidR="00B43781" w:rsidRPr="00B43781">
        <w:t>CO</w:t>
      </w:r>
      <w:r w:rsidR="00B43781" w:rsidRPr="00B43781">
        <w:rPr>
          <w:vertAlign w:val="subscript"/>
        </w:rPr>
        <w:t>2</w:t>
      </w:r>
      <w:r w:rsidR="00B43781" w:rsidRPr="00B43781">
        <w:t xml:space="preserve"> emissions and percentage savings in the </w:t>
      </w:r>
      <w:r w:rsidR="00B43781">
        <w:t>third</w:t>
      </w:r>
      <w:r w:rsidR="00B43781" w:rsidRPr="00B43781">
        <w:t xml:space="preserve"> scenario's alternatives</w:t>
      </w:r>
      <w:r w:rsidRPr="003E1EB9">
        <w:t>.</w:t>
      </w:r>
    </w:p>
    <w:tbl>
      <w:tblPr>
        <w:tblW w:w="2946" w:type="dxa"/>
        <w:tblCellMar>
          <w:left w:w="70" w:type="dxa"/>
          <w:right w:w="70" w:type="dxa"/>
        </w:tblCellMar>
        <w:tblLook w:val="04A0" w:firstRow="1" w:lastRow="0" w:firstColumn="1" w:lastColumn="0" w:noHBand="0" w:noVBand="1"/>
      </w:tblPr>
      <w:tblGrid>
        <w:gridCol w:w="1115"/>
        <w:gridCol w:w="1196"/>
        <w:gridCol w:w="635"/>
      </w:tblGrid>
      <w:tr w:rsidR="002B40B0" w:rsidRPr="000D27B3" w14:paraId="099A39A9" w14:textId="77777777" w:rsidTr="002B40B0">
        <w:trPr>
          <w:trHeight w:val="265"/>
        </w:trPr>
        <w:tc>
          <w:tcPr>
            <w:tcW w:w="1115" w:type="dxa"/>
            <w:tcBorders>
              <w:top w:val="single" w:sz="12" w:space="0" w:color="008000"/>
              <w:left w:val="nil"/>
              <w:bottom w:val="single" w:sz="2" w:space="0" w:color="008000"/>
              <w:right w:val="nil"/>
            </w:tcBorders>
            <w:shd w:val="clear" w:color="auto" w:fill="auto"/>
            <w:noWrap/>
            <w:vAlign w:val="bottom"/>
            <w:hideMark/>
          </w:tcPr>
          <w:p w14:paraId="765EFE40" w14:textId="77777777" w:rsidR="00A8684E" w:rsidRPr="000D27B3" w:rsidRDefault="00A8684E" w:rsidP="00773274">
            <w:pPr>
              <w:pStyle w:val="CETBodytext"/>
              <w:jc w:val="center"/>
              <w:rPr>
                <w:lang w:eastAsia="es-CO"/>
              </w:rPr>
            </w:pPr>
            <w:r w:rsidRPr="000D27B3">
              <w:rPr>
                <w:lang w:eastAsia="es-CO"/>
              </w:rPr>
              <w:t>Alternatives</w:t>
            </w:r>
          </w:p>
        </w:tc>
        <w:tc>
          <w:tcPr>
            <w:tcW w:w="1196" w:type="dxa"/>
            <w:tcBorders>
              <w:top w:val="single" w:sz="12" w:space="0" w:color="008000"/>
              <w:left w:val="nil"/>
              <w:bottom w:val="single" w:sz="2" w:space="0" w:color="008000"/>
              <w:right w:val="nil"/>
            </w:tcBorders>
            <w:shd w:val="clear" w:color="auto" w:fill="auto"/>
            <w:noWrap/>
            <w:vAlign w:val="bottom"/>
            <w:hideMark/>
          </w:tcPr>
          <w:p w14:paraId="354CE3D2" w14:textId="77777777" w:rsidR="00A8684E" w:rsidRPr="000D27B3" w:rsidRDefault="00A8684E" w:rsidP="00773274">
            <w:pPr>
              <w:pStyle w:val="CETBodytext"/>
              <w:jc w:val="center"/>
              <w:rPr>
                <w:lang w:eastAsia="es-CO"/>
              </w:rPr>
            </w:pPr>
            <w:r w:rsidRPr="000D27B3">
              <w:rPr>
                <w:lang w:eastAsia="es-CO"/>
              </w:rPr>
              <w:t>tCO</w:t>
            </w:r>
            <w:r w:rsidRPr="000D27B3">
              <w:rPr>
                <w:vertAlign w:val="subscript"/>
                <w:lang w:eastAsia="es-CO"/>
              </w:rPr>
              <w:t>2</w:t>
            </w:r>
            <w:r w:rsidRPr="000D27B3">
              <w:rPr>
                <w:lang w:eastAsia="es-CO"/>
              </w:rPr>
              <w:t>eq/y</w:t>
            </w:r>
          </w:p>
        </w:tc>
        <w:tc>
          <w:tcPr>
            <w:tcW w:w="635" w:type="dxa"/>
            <w:tcBorders>
              <w:top w:val="single" w:sz="12" w:space="0" w:color="008000"/>
              <w:left w:val="nil"/>
              <w:bottom w:val="single" w:sz="2" w:space="0" w:color="008000"/>
              <w:right w:val="nil"/>
            </w:tcBorders>
            <w:shd w:val="clear" w:color="auto" w:fill="auto"/>
            <w:noWrap/>
            <w:vAlign w:val="bottom"/>
            <w:hideMark/>
          </w:tcPr>
          <w:p w14:paraId="61CCD1D1" w14:textId="77777777" w:rsidR="00A8684E" w:rsidRPr="000D27B3" w:rsidRDefault="00A8684E" w:rsidP="00773274">
            <w:pPr>
              <w:pStyle w:val="CETBodytext"/>
              <w:jc w:val="center"/>
              <w:rPr>
                <w:lang w:eastAsia="es-CO"/>
              </w:rPr>
            </w:pPr>
            <w:r w:rsidRPr="000D27B3">
              <w:rPr>
                <w:lang w:eastAsia="es-CO"/>
              </w:rPr>
              <w:t>%</w:t>
            </w:r>
          </w:p>
        </w:tc>
      </w:tr>
      <w:tr w:rsidR="00A8684E" w:rsidRPr="000D27B3" w14:paraId="2F6AB5B4" w14:textId="77777777" w:rsidTr="002B40B0">
        <w:trPr>
          <w:trHeight w:val="265"/>
        </w:trPr>
        <w:tc>
          <w:tcPr>
            <w:tcW w:w="1115" w:type="dxa"/>
            <w:tcBorders>
              <w:top w:val="single" w:sz="2" w:space="0" w:color="008000"/>
              <w:left w:val="nil"/>
              <w:bottom w:val="nil"/>
              <w:right w:val="nil"/>
            </w:tcBorders>
            <w:shd w:val="clear" w:color="auto" w:fill="auto"/>
            <w:noWrap/>
            <w:vAlign w:val="bottom"/>
            <w:hideMark/>
          </w:tcPr>
          <w:p w14:paraId="7CA2D019" w14:textId="77777777" w:rsidR="00A8684E" w:rsidRPr="000D27B3" w:rsidRDefault="00A8684E" w:rsidP="00773274">
            <w:pPr>
              <w:pStyle w:val="CETBodytext"/>
              <w:jc w:val="center"/>
              <w:rPr>
                <w:lang w:eastAsia="es-CO"/>
              </w:rPr>
            </w:pPr>
            <w:r w:rsidRPr="000D27B3">
              <w:rPr>
                <w:lang w:eastAsia="es-CO"/>
              </w:rPr>
              <w:t>A1</w:t>
            </w:r>
          </w:p>
        </w:tc>
        <w:tc>
          <w:tcPr>
            <w:tcW w:w="1196" w:type="dxa"/>
            <w:tcBorders>
              <w:top w:val="single" w:sz="2" w:space="0" w:color="008000"/>
              <w:left w:val="nil"/>
              <w:bottom w:val="nil"/>
              <w:right w:val="nil"/>
            </w:tcBorders>
            <w:shd w:val="clear" w:color="auto" w:fill="auto"/>
            <w:noWrap/>
            <w:vAlign w:val="bottom"/>
            <w:hideMark/>
          </w:tcPr>
          <w:p w14:paraId="0D1648C5" w14:textId="77777777" w:rsidR="00A8684E" w:rsidRPr="000D27B3" w:rsidRDefault="00A8684E" w:rsidP="00773274">
            <w:pPr>
              <w:pStyle w:val="CETBodytext"/>
              <w:jc w:val="center"/>
              <w:rPr>
                <w:lang w:eastAsia="es-CO"/>
              </w:rPr>
            </w:pPr>
            <w:r>
              <w:rPr>
                <w:lang w:eastAsia="es-CO"/>
              </w:rPr>
              <w:t>113.53</w:t>
            </w:r>
          </w:p>
        </w:tc>
        <w:tc>
          <w:tcPr>
            <w:tcW w:w="635" w:type="dxa"/>
            <w:tcBorders>
              <w:top w:val="single" w:sz="2" w:space="0" w:color="008000"/>
              <w:left w:val="nil"/>
              <w:bottom w:val="nil"/>
              <w:right w:val="nil"/>
            </w:tcBorders>
            <w:shd w:val="clear" w:color="auto" w:fill="auto"/>
            <w:noWrap/>
            <w:vAlign w:val="bottom"/>
            <w:hideMark/>
          </w:tcPr>
          <w:p w14:paraId="2AF26072" w14:textId="77777777" w:rsidR="00A8684E" w:rsidRPr="000D27B3" w:rsidRDefault="00A8684E" w:rsidP="00773274">
            <w:pPr>
              <w:pStyle w:val="CETBodytext"/>
              <w:jc w:val="center"/>
              <w:rPr>
                <w:lang w:eastAsia="es-CO"/>
              </w:rPr>
            </w:pPr>
            <w:r>
              <w:rPr>
                <w:lang w:eastAsia="es-CO"/>
              </w:rPr>
              <w:t>23.89</w:t>
            </w:r>
          </w:p>
        </w:tc>
      </w:tr>
      <w:tr w:rsidR="00A8684E" w:rsidRPr="000D27B3" w14:paraId="1C4BC904" w14:textId="77777777" w:rsidTr="002B40B0">
        <w:trPr>
          <w:trHeight w:val="265"/>
        </w:trPr>
        <w:tc>
          <w:tcPr>
            <w:tcW w:w="1115" w:type="dxa"/>
            <w:tcBorders>
              <w:top w:val="nil"/>
              <w:left w:val="nil"/>
              <w:bottom w:val="nil"/>
              <w:right w:val="nil"/>
            </w:tcBorders>
            <w:shd w:val="clear" w:color="auto" w:fill="auto"/>
            <w:noWrap/>
            <w:vAlign w:val="bottom"/>
            <w:hideMark/>
          </w:tcPr>
          <w:p w14:paraId="2BC98E63" w14:textId="77777777" w:rsidR="00A8684E" w:rsidRPr="000D27B3" w:rsidRDefault="00A8684E" w:rsidP="00773274">
            <w:pPr>
              <w:pStyle w:val="CETBodytext"/>
              <w:jc w:val="center"/>
              <w:rPr>
                <w:lang w:eastAsia="es-CO"/>
              </w:rPr>
            </w:pPr>
            <w:r w:rsidRPr="000D27B3">
              <w:rPr>
                <w:lang w:eastAsia="es-CO"/>
              </w:rPr>
              <w:t>A2</w:t>
            </w:r>
          </w:p>
        </w:tc>
        <w:tc>
          <w:tcPr>
            <w:tcW w:w="1196" w:type="dxa"/>
            <w:tcBorders>
              <w:top w:val="nil"/>
              <w:left w:val="nil"/>
              <w:bottom w:val="nil"/>
              <w:right w:val="nil"/>
            </w:tcBorders>
            <w:shd w:val="clear" w:color="auto" w:fill="auto"/>
            <w:noWrap/>
            <w:vAlign w:val="bottom"/>
            <w:hideMark/>
          </w:tcPr>
          <w:p w14:paraId="6E683731" w14:textId="662BDDF0" w:rsidR="00A8684E" w:rsidRPr="000D27B3" w:rsidRDefault="00A8684E" w:rsidP="00773274">
            <w:pPr>
              <w:pStyle w:val="CETBodytext"/>
              <w:jc w:val="center"/>
              <w:rPr>
                <w:lang w:eastAsia="es-CO"/>
              </w:rPr>
            </w:pPr>
            <w:r>
              <w:rPr>
                <w:lang w:eastAsia="es-CO"/>
              </w:rPr>
              <w:t>105.8</w:t>
            </w:r>
          </w:p>
        </w:tc>
        <w:tc>
          <w:tcPr>
            <w:tcW w:w="635" w:type="dxa"/>
            <w:tcBorders>
              <w:top w:val="nil"/>
              <w:left w:val="nil"/>
              <w:bottom w:val="nil"/>
              <w:right w:val="nil"/>
            </w:tcBorders>
            <w:shd w:val="clear" w:color="auto" w:fill="auto"/>
            <w:noWrap/>
            <w:vAlign w:val="bottom"/>
            <w:hideMark/>
          </w:tcPr>
          <w:p w14:paraId="2F1A3ABA" w14:textId="77777777" w:rsidR="00A8684E" w:rsidRPr="000D27B3" w:rsidRDefault="00A8684E" w:rsidP="00773274">
            <w:pPr>
              <w:pStyle w:val="CETBodytext"/>
              <w:jc w:val="center"/>
              <w:rPr>
                <w:lang w:eastAsia="es-CO"/>
              </w:rPr>
            </w:pPr>
            <w:r>
              <w:rPr>
                <w:lang w:eastAsia="es-CO"/>
              </w:rPr>
              <w:t>29.07</w:t>
            </w:r>
          </w:p>
        </w:tc>
      </w:tr>
      <w:tr w:rsidR="00A8684E" w:rsidRPr="000D27B3" w14:paraId="5E91B29C" w14:textId="77777777" w:rsidTr="002B40B0">
        <w:trPr>
          <w:trHeight w:val="265"/>
        </w:trPr>
        <w:tc>
          <w:tcPr>
            <w:tcW w:w="1115" w:type="dxa"/>
            <w:tcBorders>
              <w:top w:val="nil"/>
              <w:left w:val="nil"/>
              <w:bottom w:val="nil"/>
              <w:right w:val="nil"/>
            </w:tcBorders>
            <w:shd w:val="clear" w:color="auto" w:fill="auto"/>
            <w:noWrap/>
            <w:vAlign w:val="bottom"/>
            <w:hideMark/>
          </w:tcPr>
          <w:p w14:paraId="226B50F5" w14:textId="77777777" w:rsidR="00A8684E" w:rsidRPr="000D27B3" w:rsidRDefault="00A8684E" w:rsidP="00773274">
            <w:pPr>
              <w:pStyle w:val="CETBodytext"/>
              <w:jc w:val="center"/>
              <w:rPr>
                <w:lang w:eastAsia="es-CO"/>
              </w:rPr>
            </w:pPr>
            <w:r w:rsidRPr="000D27B3">
              <w:rPr>
                <w:lang w:eastAsia="es-CO"/>
              </w:rPr>
              <w:t>A3</w:t>
            </w:r>
          </w:p>
        </w:tc>
        <w:tc>
          <w:tcPr>
            <w:tcW w:w="1196" w:type="dxa"/>
            <w:tcBorders>
              <w:top w:val="nil"/>
              <w:left w:val="nil"/>
              <w:bottom w:val="nil"/>
              <w:right w:val="nil"/>
            </w:tcBorders>
            <w:shd w:val="clear" w:color="auto" w:fill="auto"/>
            <w:noWrap/>
            <w:vAlign w:val="bottom"/>
            <w:hideMark/>
          </w:tcPr>
          <w:p w14:paraId="0A0D8AD1" w14:textId="77777777" w:rsidR="00A8684E" w:rsidRPr="000D27B3" w:rsidRDefault="00A8684E" w:rsidP="00773274">
            <w:pPr>
              <w:pStyle w:val="CETBodytext"/>
              <w:jc w:val="center"/>
              <w:rPr>
                <w:lang w:eastAsia="es-CO"/>
              </w:rPr>
            </w:pPr>
            <w:r>
              <w:rPr>
                <w:lang w:eastAsia="es-CO"/>
              </w:rPr>
              <w:t>115.31</w:t>
            </w:r>
          </w:p>
        </w:tc>
        <w:tc>
          <w:tcPr>
            <w:tcW w:w="635" w:type="dxa"/>
            <w:tcBorders>
              <w:top w:val="nil"/>
              <w:left w:val="nil"/>
              <w:bottom w:val="nil"/>
              <w:right w:val="nil"/>
            </w:tcBorders>
            <w:shd w:val="clear" w:color="auto" w:fill="auto"/>
            <w:noWrap/>
            <w:vAlign w:val="bottom"/>
            <w:hideMark/>
          </w:tcPr>
          <w:p w14:paraId="4493362A" w14:textId="5F3BDEDC" w:rsidR="00A8684E" w:rsidRPr="000D27B3" w:rsidRDefault="00A8684E" w:rsidP="00773274">
            <w:pPr>
              <w:pStyle w:val="CETBodytext"/>
              <w:jc w:val="center"/>
              <w:rPr>
                <w:lang w:eastAsia="es-CO"/>
              </w:rPr>
            </w:pPr>
            <w:r>
              <w:rPr>
                <w:lang w:eastAsia="es-CO"/>
              </w:rPr>
              <w:t>22.7</w:t>
            </w:r>
          </w:p>
        </w:tc>
      </w:tr>
      <w:tr w:rsidR="00A8684E" w:rsidRPr="000D27B3" w14:paraId="103A8FEF" w14:textId="77777777" w:rsidTr="002B40B0">
        <w:trPr>
          <w:trHeight w:val="265"/>
        </w:trPr>
        <w:tc>
          <w:tcPr>
            <w:tcW w:w="1115" w:type="dxa"/>
            <w:tcBorders>
              <w:top w:val="nil"/>
              <w:left w:val="nil"/>
              <w:right w:val="nil"/>
            </w:tcBorders>
            <w:shd w:val="clear" w:color="auto" w:fill="auto"/>
            <w:noWrap/>
            <w:vAlign w:val="bottom"/>
            <w:hideMark/>
          </w:tcPr>
          <w:p w14:paraId="167E0435" w14:textId="77777777" w:rsidR="00A8684E" w:rsidRPr="000D27B3" w:rsidRDefault="00A8684E" w:rsidP="00773274">
            <w:pPr>
              <w:pStyle w:val="CETBodytext"/>
              <w:jc w:val="center"/>
              <w:rPr>
                <w:lang w:eastAsia="es-CO"/>
              </w:rPr>
            </w:pPr>
            <w:r w:rsidRPr="000D27B3">
              <w:rPr>
                <w:lang w:eastAsia="es-CO"/>
              </w:rPr>
              <w:t>A4</w:t>
            </w:r>
          </w:p>
        </w:tc>
        <w:tc>
          <w:tcPr>
            <w:tcW w:w="1196" w:type="dxa"/>
            <w:tcBorders>
              <w:top w:val="nil"/>
              <w:left w:val="nil"/>
              <w:right w:val="nil"/>
            </w:tcBorders>
            <w:shd w:val="clear" w:color="auto" w:fill="auto"/>
            <w:noWrap/>
            <w:vAlign w:val="bottom"/>
            <w:hideMark/>
          </w:tcPr>
          <w:p w14:paraId="7B74308E" w14:textId="77777777" w:rsidR="00A8684E" w:rsidRPr="000D27B3" w:rsidRDefault="00A8684E" w:rsidP="00773274">
            <w:pPr>
              <w:pStyle w:val="CETBodytext"/>
              <w:jc w:val="center"/>
              <w:rPr>
                <w:lang w:eastAsia="es-CO"/>
              </w:rPr>
            </w:pPr>
            <w:r>
              <w:rPr>
                <w:lang w:eastAsia="es-CO"/>
              </w:rPr>
              <w:t>128.87</w:t>
            </w:r>
          </w:p>
        </w:tc>
        <w:tc>
          <w:tcPr>
            <w:tcW w:w="635" w:type="dxa"/>
            <w:tcBorders>
              <w:top w:val="nil"/>
              <w:left w:val="nil"/>
              <w:right w:val="nil"/>
            </w:tcBorders>
            <w:shd w:val="clear" w:color="auto" w:fill="auto"/>
            <w:noWrap/>
            <w:vAlign w:val="bottom"/>
            <w:hideMark/>
          </w:tcPr>
          <w:p w14:paraId="3377A67B" w14:textId="5447CE07" w:rsidR="00A8684E" w:rsidRPr="000D27B3" w:rsidRDefault="00A8684E" w:rsidP="00773274">
            <w:pPr>
              <w:pStyle w:val="CETBodytext"/>
              <w:jc w:val="center"/>
              <w:rPr>
                <w:lang w:eastAsia="es-CO"/>
              </w:rPr>
            </w:pPr>
            <w:r>
              <w:rPr>
                <w:lang w:eastAsia="es-CO"/>
              </w:rPr>
              <w:t>13.6</w:t>
            </w:r>
          </w:p>
        </w:tc>
      </w:tr>
      <w:tr w:rsidR="00A8684E" w:rsidRPr="000D27B3" w14:paraId="4F2F13A0" w14:textId="77777777" w:rsidTr="002B40B0">
        <w:trPr>
          <w:trHeight w:val="265"/>
        </w:trPr>
        <w:tc>
          <w:tcPr>
            <w:tcW w:w="1115" w:type="dxa"/>
            <w:tcBorders>
              <w:top w:val="nil"/>
              <w:left w:val="nil"/>
              <w:bottom w:val="single" w:sz="12" w:space="0" w:color="008000"/>
              <w:right w:val="nil"/>
            </w:tcBorders>
            <w:shd w:val="clear" w:color="auto" w:fill="auto"/>
            <w:noWrap/>
            <w:vAlign w:val="bottom"/>
            <w:hideMark/>
          </w:tcPr>
          <w:p w14:paraId="31B06FBC" w14:textId="77777777" w:rsidR="00A8684E" w:rsidRPr="000D27B3" w:rsidRDefault="00A8684E" w:rsidP="00773274">
            <w:pPr>
              <w:pStyle w:val="CETBodytext"/>
              <w:jc w:val="center"/>
              <w:rPr>
                <w:lang w:eastAsia="es-CO"/>
              </w:rPr>
            </w:pPr>
            <w:r w:rsidRPr="000D27B3">
              <w:rPr>
                <w:lang w:eastAsia="es-CO"/>
              </w:rPr>
              <w:t>A5</w:t>
            </w:r>
          </w:p>
        </w:tc>
        <w:tc>
          <w:tcPr>
            <w:tcW w:w="1196" w:type="dxa"/>
            <w:tcBorders>
              <w:top w:val="nil"/>
              <w:left w:val="nil"/>
              <w:bottom w:val="single" w:sz="12" w:space="0" w:color="008000"/>
              <w:right w:val="nil"/>
            </w:tcBorders>
            <w:shd w:val="clear" w:color="auto" w:fill="auto"/>
            <w:noWrap/>
            <w:vAlign w:val="bottom"/>
            <w:hideMark/>
          </w:tcPr>
          <w:p w14:paraId="58BB43B5" w14:textId="77777777" w:rsidR="00A8684E" w:rsidRPr="000D27B3" w:rsidRDefault="00A8684E" w:rsidP="00773274">
            <w:pPr>
              <w:pStyle w:val="CETBodytext"/>
              <w:jc w:val="center"/>
              <w:rPr>
                <w:lang w:eastAsia="es-CO"/>
              </w:rPr>
            </w:pPr>
            <w:r>
              <w:rPr>
                <w:lang w:eastAsia="es-CO"/>
              </w:rPr>
              <w:t>149.16</w:t>
            </w:r>
          </w:p>
        </w:tc>
        <w:tc>
          <w:tcPr>
            <w:tcW w:w="635" w:type="dxa"/>
            <w:tcBorders>
              <w:top w:val="nil"/>
              <w:left w:val="nil"/>
              <w:bottom w:val="single" w:sz="12" w:space="0" w:color="008000"/>
              <w:right w:val="nil"/>
            </w:tcBorders>
            <w:shd w:val="clear" w:color="auto" w:fill="auto"/>
            <w:noWrap/>
            <w:vAlign w:val="bottom"/>
            <w:hideMark/>
          </w:tcPr>
          <w:p w14:paraId="23214A60" w14:textId="77777777" w:rsidR="00A8684E" w:rsidRPr="000D27B3" w:rsidRDefault="00A8684E" w:rsidP="00773274">
            <w:pPr>
              <w:pStyle w:val="CETBodytext"/>
              <w:jc w:val="center"/>
              <w:rPr>
                <w:lang w:eastAsia="es-CO"/>
              </w:rPr>
            </w:pPr>
            <w:r w:rsidRPr="000D27B3">
              <w:rPr>
                <w:lang w:eastAsia="es-CO"/>
              </w:rPr>
              <w:t>-</w:t>
            </w:r>
          </w:p>
        </w:tc>
      </w:tr>
    </w:tbl>
    <w:p w14:paraId="4A5987D6" w14:textId="77777777" w:rsidR="00A2289C" w:rsidRPr="00A2289C" w:rsidRDefault="00A2289C" w:rsidP="00773274">
      <w:pPr>
        <w:pStyle w:val="CETBodytext"/>
        <w:jc w:val="center"/>
        <w:rPr>
          <w:lang w:val="en-GB"/>
        </w:rPr>
      </w:pPr>
    </w:p>
    <w:p w14:paraId="099E16DA" w14:textId="7A8CE1DC" w:rsidR="009A51E1" w:rsidRPr="009A51E1" w:rsidRDefault="009A51E1" w:rsidP="009A51E1">
      <w:pPr>
        <w:pStyle w:val="CETBodytext"/>
        <w:rPr>
          <w:lang w:val="en-GB"/>
        </w:rPr>
      </w:pPr>
      <w:r w:rsidRPr="009A51E1">
        <w:rPr>
          <w:lang w:val="en-GB"/>
        </w:rPr>
        <w:t>Alternative A1 stands out as the most cost-effective option among the alternatives in the scenario, with an NPC of USD $390,410. This allocation can be further specified: 14</w:t>
      </w:r>
      <w:r w:rsidR="00370342">
        <w:rPr>
          <w:lang w:val="en-GB"/>
        </w:rPr>
        <w:t xml:space="preserve"> </w:t>
      </w:r>
      <w:r w:rsidRPr="009A51E1">
        <w:rPr>
          <w:lang w:val="en-GB"/>
        </w:rPr>
        <w:t>% represents the initial capital investment of USD $53,299, required for installing the grid-connected photovoltaic system, while the remaining 86</w:t>
      </w:r>
      <w:r w:rsidR="00A744F5">
        <w:rPr>
          <w:lang w:val="en-GB"/>
        </w:rPr>
        <w:t xml:space="preserve"> </w:t>
      </w:r>
      <w:r w:rsidRPr="009A51E1">
        <w:rPr>
          <w:lang w:val="en-GB"/>
        </w:rPr>
        <w:t>% covers grid supply costs and annual operation and maintenance ex</w:t>
      </w:r>
      <w:r>
        <w:rPr>
          <w:lang w:val="en-GB"/>
        </w:rPr>
        <w:t>penses of the renewable system.</w:t>
      </w:r>
    </w:p>
    <w:p w14:paraId="64F2D8A5" w14:textId="3C3C7323" w:rsidR="009A51E1" w:rsidRPr="009A51E1" w:rsidRDefault="009A51E1" w:rsidP="009A51E1">
      <w:pPr>
        <w:pStyle w:val="CETBodytext"/>
        <w:rPr>
          <w:lang w:val="en-GB"/>
        </w:rPr>
      </w:pPr>
      <w:r w:rsidRPr="009A51E1">
        <w:rPr>
          <w:lang w:val="en-GB"/>
        </w:rPr>
        <w:t>With a generation capacity of 76</w:t>
      </w:r>
      <w:r w:rsidR="00A744F5">
        <w:rPr>
          <w:lang w:val="en-GB"/>
        </w:rPr>
        <w:t xml:space="preserve"> </w:t>
      </w:r>
      <w:r w:rsidRPr="009A51E1">
        <w:rPr>
          <w:lang w:val="en-GB"/>
        </w:rPr>
        <w:t>% from the grid and 24</w:t>
      </w:r>
      <w:r w:rsidR="00A744F5">
        <w:rPr>
          <w:lang w:val="en-GB"/>
        </w:rPr>
        <w:t xml:space="preserve"> </w:t>
      </w:r>
      <w:r w:rsidRPr="009A51E1">
        <w:rPr>
          <w:lang w:val="en-GB"/>
        </w:rPr>
        <w:t>% from the photovoltaic system, Alternative A1 achieves a substanti</w:t>
      </w:r>
      <w:r>
        <w:rPr>
          <w:lang w:val="en-GB"/>
        </w:rPr>
        <w:t>al reduction in GHG</w:t>
      </w:r>
      <w:r w:rsidRPr="009A51E1">
        <w:rPr>
          <w:lang w:val="en-GB"/>
        </w:rPr>
        <w:t xml:space="preserve"> emissions, amounting to 113.53 </w:t>
      </w:r>
      <w:r w:rsidR="00A744F5" w:rsidRPr="00A744F5">
        <w:rPr>
          <w:lang w:val="en-GB"/>
        </w:rPr>
        <w:t>t of CO</w:t>
      </w:r>
      <w:r w:rsidR="00A744F5" w:rsidRPr="00A744F5">
        <w:rPr>
          <w:vertAlign w:val="subscript"/>
          <w:lang w:val="en-GB"/>
        </w:rPr>
        <w:t>2</w:t>
      </w:r>
      <w:r w:rsidR="00A744F5" w:rsidRPr="00A744F5">
        <w:rPr>
          <w:lang w:val="en-GB"/>
        </w:rPr>
        <w:t>eq/y</w:t>
      </w:r>
      <w:r w:rsidRPr="009A51E1">
        <w:rPr>
          <w:lang w:val="en-GB"/>
        </w:rPr>
        <w:t>. Its superior economic performance and notable potential for emission reduction establish Alternative A1 as the most favourable choice am</w:t>
      </w:r>
      <w:r>
        <w:rPr>
          <w:lang w:val="en-GB"/>
        </w:rPr>
        <w:t>ong the project's alternatives.</w:t>
      </w:r>
    </w:p>
    <w:p w14:paraId="4C81A2CA" w14:textId="6AE61EB1" w:rsidR="009A51E1" w:rsidRDefault="009A51E1" w:rsidP="009A51E1">
      <w:pPr>
        <w:pStyle w:val="CETBodytext"/>
        <w:rPr>
          <w:lang w:val="en-GB"/>
        </w:rPr>
      </w:pPr>
      <w:r w:rsidRPr="009A51E1">
        <w:rPr>
          <w:lang w:val="en-GB"/>
        </w:rPr>
        <w:t>By effectively integrating the grid and photovoltaic system, this alternative demonstrates its ability to minimize environmental impact and contribute to a sustainable future.</w:t>
      </w:r>
    </w:p>
    <w:p w14:paraId="68D26B83" w14:textId="01FE661E" w:rsidR="00600535" w:rsidRDefault="00600535" w:rsidP="00600535">
      <w:pPr>
        <w:pStyle w:val="CETHeading1"/>
        <w:rPr>
          <w:lang w:val="en-GB"/>
        </w:rPr>
      </w:pPr>
      <w:r w:rsidRPr="00B57B36">
        <w:rPr>
          <w:lang w:val="en-GB"/>
        </w:rPr>
        <w:lastRenderedPageBreak/>
        <w:t>Conclusions</w:t>
      </w:r>
    </w:p>
    <w:p w14:paraId="25828A0F" w14:textId="2B77FF78" w:rsidR="00691225" w:rsidRPr="00691225" w:rsidRDefault="009A51E1" w:rsidP="00691225">
      <w:pPr>
        <w:pStyle w:val="CETAcknowledgementstitle"/>
        <w:spacing w:before="0" w:after="0"/>
        <w:jc w:val="both"/>
        <w:rPr>
          <w:b w:val="0"/>
        </w:rPr>
      </w:pPr>
      <w:r w:rsidRPr="009A51E1">
        <w:rPr>
          <w:b w:val="0"/>
        </w:rPr>
        <w:t xml:space="preserve">The </w:t>
      </w:r>
      <w:r w:rsidR="00DE0345">
        <w:rPr>
          <w:b w:val="0"/>
        </w:rPr>
        <w:t>UTS</w:t>
      </w:r>
      <w:r w:rsidR="00691225" w:rsidRPr="00691225">
        <w:rPr>
          <w:b w:val="0"/>
        </w:rPr>
        <w:t xml:space="preserve"> in Colombia exhibits a monthly average energy consumption of 28,490 kWh, resulting in a considerable financial burden exceeding USD $5000 per month. This underscores the imperative for implementing measures aimed at reducing energy costs.</w:t>
      </w:r>
    </w:p>
    <w:p w14:paraId="59EC6E1C" w14:textId="77777777" w:rsidR="00691225" w:rsidRDefault="00691225" w:rsidP="00691225">
      <w:pPr>
        <w:pStyle w:val="CETAcknowledgementstitle"/>
        <w:spacing w:before="0" w:after="0"/>
        <w:jc w:val="both"/>
        <w:rPr>
          <w:b w:val="0"/>
        </w:rPr>
      </w:pPr>
      <w:r w:rsidRPr="00691225">
        <w:rPr>
          <w:b w:val="0"/>
        </w:rPr>
        <w:t xml:space="preserve">This study </w:t>
      </w:r>
      <w:r>
        <w:rPr>
          <w:b w:val="0"/>
        </w:rPr>
        <w:t xml:space="preserve">focus </w:t>
      </w:r>
      <w:r w:rsidRPr="00691225">
        <w:rPr>
          <w:b w:val="0"/>
        </w:rPr>
        <w:t>on assessing the technical, economic, and environmental viability of hybrid energy generation alternatives employing the HOMER Pro software. The analysis reveals that the integration of photovoltaic systems can satisfy a portion ranging from 24</w:t>
      </w:r>
      <w:r>
        <w:rPr>
          <w:b w:val="0"/>
        </w:rPr>
        <w:t xml:space="preserve"> </w:t>
      </w:r>
      <w:r w:rsidRPr="00691225">
        <w:rPr>
          <w:b w:val="0"/>
        </w:rPr>
        <w:t>% to 43.4</w:t>
      </w:r>
      <w:r>
        <w:rPr>
          <w:b w:val="0"/>
        </w:rPr>
        <w:t xml:space="preserve"> </w:t>
      </w:r>
      <w:r w:rsidRPr="00691225">
        <w:rPr>
          <w:b w:val="0"/>
        </w:rPr>
        <w:t>% of the energy demand, leading to potential energy savings of approximately 30</w:t>
      </w:r>
      <w:r>
        <w:rPr>
          <w:b w:val="0"/>
        </w:rPr>
        <w:t xml:space="preserve"> </w:t>
      </w:r>
      <w:r w:rsidRPr="00691225">
        <w:rPr>
          <w:b w:val="0"/>
        </w:rPr>
        <w:t>%.</w:t>
      </w:r>
    </w:p>
    <w:p w14:paraId="20E5CC7F" w14:textId="2136CE83" w:rsidR="00691225" w:rsidRDefault="00691225" w:rsidP="00691225">
      <w:pPr>
        <w:pStyle w:val="CETAcknowledgementstitle"/>
        <w:spacing w:before="0" w:after="0"/>
        <w:jc w:val="both"/>
        <w:rPr>
          <w:b w:val="0"/>
        </w:rPr>
      </w:pPr>
      <w:r w:rsidRPr="00691225">
        <w:rPr>
          <w:b w:val="0"/>
        </w:rPr>
        <w:t>Each proposed scenario demonstrates a return-on-investment surpassing 5.8</w:t>
      </w:r>
      <w:r>
        <w:rPr>
          <w:b w:val="0"/>
        </w:rPr>
        <w:t xml:space="preserve"> </w:t>
      </w:r>
      <w:r w:rsidRPr="00691225">
        <w:rPr>
          <w:b w:val="0"/>
        </w:rPr>
        <w:t>% and an achievable internal rate of return greater than 8.9</w:t>
      </w:r>
      <w:r w:rsidR="002B653A">
        <w:rPr>
          <w:b w:val="0"/>
        </w:rPr>
        <w:t xml:space="preserve"> </w:t>
      </w:r>
      <w:r w:rsidRPr="00691225">
        <w:rPr>
          <w:b w:val="0"/>
        </w:rPr>
        <w:t>%. These metrics indicate the financial feasibility of implementing hybrid energy systems at the UTS, yielding long-term cost reductions.</w:t>
      </w:r>
    </w:p>
    <w:p w14:paraId="7BE0266F" w14:textId="4E9D3FF8" w:rsidR="00691225" w:rsidRPr="00691225" w:rsidRDefault="00691225" w:rsidP="00691225">
      <w:pPr>
        <w:pStyle w:val="CETAcknowledgementstitle"/>
        <w:spacing w:before="0" w:after="0"/>
        <w:jc w:val="both"/>
        <w:rPr>
          <w:b w:val="0"/>
        </w:rPr>
      </w:pPr>
      <w:r w:rsidRPr="00691225">
        <w:rPr>
          <w:b w:val="0"/>
        </w:rPr>
        <w:t>The current energy supply system employed in UTS buildings contributes to an estimated 229.47 t of CO</w:t>
      </w:r>
      <w:r w:rsidRPr="002B653A">
        <w:rPr>
          <w:b w:val="0"/>
          <w:vertAlign w:val="subscript"/>
        </w:rPr>
        <w:t>2</w:t>
      </w:r>
      <w:r w:rsidRPr="00691225">
        <w:rPr>
          <w:b w:val="0"/>
        </w:rPr>
        <w:t>eq/y emissions. However, the analysis demonstrates that the implementation of energy-efficient scenarios incorporating hybrid energy systems can mitigate CO</w:t>
      </w:r>
      <w:r w:rsidRPr="00691225">
        <w:rPr>
          <w:b w:val="0"/>
          <w:vertAlign w:val="subscript"/>
        </w:rPr>
        <w:t>2</w:t>
      </w:r>
      <w:r w:rsidRPr="00691225">
        <w:rPr>
          <w:b w:val="0"/>
        </w:rPr>
        <w:t xml:space="preserve"> emissions by up to 49.3</w:t>
      </w:r>
      <w:r w:rsidR="002B653A">
        <w:rPr>
          <w:b w:val="0"/>
        </w:rPr>
        <w:t xml:space="preserve"> </w:t>
      </w:r>
      <w:r w:rsidRPr="00691225">
        <w:rPr>
          <w:b w:val="0"/>
        </w:rPr>
        <w:t>%, yielding substantial environmental benefits.</w:t>
      </w:r>
    </w:p>
    <w:p w14:paraId="7524CF8B" w14:textId="628A75E4" w:rsidR="00691225" w:rsidRPr="00691225" w:rsidRDefault="00691225" w:rsidP="00691225">
      <w:pPr>
        <w:pStyle w:val="CETAcknowledgementstitle"/>
        <w:spacing w:before="0" w:after="0"/>
        <w:jc w:val="both"/>
        <w:rPr>
          <w:b w:val="0"/>
        </w:rPr>
      </w:pPr>
      <w:r w:rsidRPr="00691225">
        <w:rPr>
          <w:b w:val="0"/>
        </w:rPr>
        <w:t>The efficacy of the HOMER Pro software as a vital tool for optimizing renewable energy systems and evaluating their economic and environmental viability has been confirmed. Drawing upon international experiences, its utilization in designing hybrid renewable energy systems for educational institutions can facilitate the transition towards sustainable energy provision.</w:t>
      </w:r>
    </w:p>
    <w:p w14:paraId="203AEC5A" w14:textId="3A724738" w:rsidR="00691225" w:rsidRPr="00691225" w:rsidRDefault="00691225" w:rsidP="00691225">
      <w:pPr>
        <w:pStyle w:val="CETAcknowledgementstitle"/>
        <w:spacing w:before="0" w:after="0"/>
        <w:jc w:val="both"/>
        <w:rPr>
          <w:b w:val="0"/>
        </w:rPr>
      </w:pPr>
      <w:r w:rsidRPr="00691225">
        <w:rPr>
          <w:b w:val="0"/>
        </w:rPr>
        <w:t>In conclusion, this study underscores the potential for the UTS to embrace clean energy adoption, achieve cost reductions, and realize environmental advantages through the integration of hybrid energy generation alternatives. The findings align with Colombia's objectives of diversifying its energy sources.</w:t>
      </w:r>
    </w:p>
    <w:p w14:paraId="7081D8CB" w14:textId="3249208B" w:rsidR="009A51E1" w:rsidRDefault="00691225" w:rsidP="00691225">
      <w:pPr>
        <w:pStyle w:val="CETAcknowledgementstitle"/>
        <w:spacing w:before="0" w:after="0"/>
        <w:jc w:val="both"/>
        <w:rPr>
          <w:b w:val="0"/>
        </w:rPr>
      </w:pPr>
      <w:r w:rsidRPr="00691225">
        <w:rPr>
          <w:b w:val="0"/>
        </w:rPr>
        <w:t>Future research endeavours should concentrate on conducting socio-economic analyses to assess the broader implications of transitioning to a hybrid energy system for the university and its surrounding community. Factors such as energy affordability and social acceptance ought to be taken into consideration. Additionally, future investigations are anticipated to evaluate the socio-political barriers associated with establishing energy communities in partnership with universities, enabling energy trading within the grid and overcoming prevailing monopolistic practices in the country.</w:t>
      </w:r>
    </w:p>
    <w:p w14:paraId="4970B00E" w14:textId="383F53E2" w:rsidR="00692D24" w:rsidRPr="00B57B36" w:rsidRDefault="00692D24" w:rsidP="009A51E1">
      <w:pPr>
        <w:pStyle w:val="CETAcknowledgementstitle"/>
      </w:pPr>
      <w:r w:rsidRPr="00B57B36">
        <w:t>Acknowledgments</w:t>
      </w:r>
    </w:p>
    <w:p w14:paraId="317425DA" w14:textId="0D8D35BE" w:rsidR="00A160E5" w:rsidRPr="00E55CFA" w:rsidRDefault="00692D24" w:rsidP="00C14600">
      <w:pPr>
        <w:pStyle w:val="CETBodytext"/>
        <w:rPr>
          <w:lang w:val="en-GB"/>
        </w:rPr>
        <w:sectPr w:rsidR="00A160E5" w:rsidRPr="00E55CFA" w:rsidSect="007D0951">
          <w:type w:val="continuous"/>
          <w:pgSz w:w="11906" w:h="16838" w:code="9"/>
          <w:pgMar w:top="1701" w:right="1418" w:bottom="1701" w:left="1701" w:header="1701" w:footer="0" w:gutter="0"/>
          <w:cols w:space="708"/>
          <w:formProt w:val="0"/>
          <w:titlePg/>
          <w:docGrid w:linePitch="360"/>
        </w:sectPr>
      </w:pPr>
      <w:r w:rsidRPr="00692D24">
        <w:rPr>
          <w:lang w:val="en-GB"/>
        </w:rPr>
        <w:t>The authors acknowledge the financial support of the Technological Units of Santander</w:t>
      </w:r>
      <w:r>
        <w:rPr>
          <w:lang w:val="en-GB"/>
        </w:rPr>
        <w:t>.</w:t>
      </w:r>
    </w:p>
    <w:p w14:paraId="4F1327F8" w14:textId="77777777" w:rsidR="00600535" w:rsidRPr="00BE4B8D" w:rsidRDefault="00600535" w:rsidP="00600535">
      <w:pPr>
        <w:pStyle w:val="CETReference"/>
      </w:pPr>
      <w:r w:rsidRPr="00BE4B8D">
        <w:t>References</w:t>
      </w:r>
    </w:p>
    <w:p w14:paraId="07740BFD" w14:textId="2285DFEF" w:rsidR="007A2138" w:rsidRDefault="007A2138" w:rsidP="007A2138">
      <w:pPr>
        <w:pStyle w:val="CETReferencetext"/>
      </w:pPr>
      <w:proofErr w:type="spellStart"/>
      <w:r>
        <w:t>Afham</w:t>
      </w:r>
      <w:proofErr w:type="spellEnd"/>
      <w:r>
        <w:t>, N. A., Harun, N. S., Abdullah, A. R., Abd. Wahab, M. I., 2021. Techno-economic analysis of hybrid photovoltaic and electricity storage system using HOMER. Energy Reports, 7, 1775-1784.</w:t>
      </w:r>
    </w:p>
    <w:p w14:paraId="3CBD3FFB" w14:textId="04ECAABF" w:rsidR="007A2138" w:rsidRDefault="007A2138" w:rsidP="007A2138">
      <w:pPr>
        <w:pStyle w:val="CETReferencetext"/>
      </w:pPr>
      <w:proofErr w:type="spellStart"/>
      <w:r>
        <w:t>Castaño</w:t>
      </w:r>
      <w:proofErr w:type="spellEnd"/>
      <w:r>
        <w:t xml:space="preserve">, C., García, E., 2020. Energy transition in Colombia: a commitment to a sustainable future. </w:t>
      </w:r>
      <w:proofErr w:type="spellStart"/>
      <w:r>
        <w:t>Aglala</w:t>
      </w:r>
      <w:proofErr w:type="spellEnd"/>
      <w:r>
        <w:t>: Journal of Cultural Studies, 11(22), 53-67.</w:t>
      </w:r>
    </w:p>
    <w:p w14:paraId="6132405A" w14:textId="065F097A" w:rsidR="007A2138" w:rsidRDefault="007A2138" w:rsidP="007A2138">
      <w:pPr>
        <w:pStyle w:val="CETReferencetext"/>
      </w:pPr>
      <w:r w:rsidRPr="00220060">
        <w:t xml:space="preserve">Galdamez, E. L., Bursztyn, M., Barrios, A., 2020. </w:t>
      </w:r>
      <w:r>
        <w:t>Planning renewable hybrid energy systems for universities: The HOMER software as a planning tool. Case study: Honduras. Energy Reports, 6, 671-679.</w:t>
      </w:r>
    </w:p>
    <w:p w14:paraId="0A132A71" w14:textId="06FB479E" w:rsidR="007A2138" w:rsidRDefault="007A2138" w:rsidP="007A2138">
      <w:pPr>
        <w:pStyle w:val="CETReferencetext"/>
      </w:pPr>
      <w:r>
        <w:t>Gómez, F., 2019. Analysis and selection of an energy storage system for a hybrid renewable generation microgrid. Energy Reports, 5, 799-805.</w:t>
      </w:r>
    </w:p>
    <w:p w14:paraId="3DBA3AD7" w14:textId="70F73803" w:rsidR="007A2138" w:rsidRDefault="007A2138" w:rsidP="007A2138">
      <w:pPr>
        <w:pStyle w:val="CETReferencetext"/>
      </w:pPr>
      <w:r>
        <w:t>Ministry of Environment and Sustainable Development, 2021. Sixth Biennial Update Report of Colombia to the United Nations Framework Convention on Climate Change.</w:t>
      </w:r>
    </w:p>
    <w:p w14:paraId="6353E147" w14:textId="2A352386" w:rsidR="007A2138" w:rsidRDefault="007A2138" w:rsidP="007A2138">
      <w:pPr>
        <w:pStyle w:val="CETReferencetext"/>
      </w:pPr>
      <w:r>
        <w:t>Mora, N.B.</w:t>
      </w:r>
      <w:r w:rsidR="00D84F73">
        <w:t xml:space="preserve">, </w:t>
      </w:r>
      <w:r>
        <w:t>2022. Requirement of electric consumption data (Electric consumption invoices, 2022).</w:t>
      </w:r>
    </w:p>
    <w:p w14:paraId="3936DEE3" w14:textId="67F96209" w:rsidR="007A2138" w:rsidRDefault="007A2138" w:rsidP="007A2138">
      <w:pPr>
        <w:pStyle w:val="CETReferencetext"/>
      </w:pPr>
      <w:r>
        <w:t>Osorio, G. A., 2022. Implementation and evaluation of scenarios for monitoring and control of energy performance at the Campus of the National University of Colombia, Medellín Campus. Bachelor's thesis, National University of Colombia (in Spanish).</w:t>
      </w:r>
    </w:p>
    <w:p w14:paraId="7C252303" w14:textId="6532D7D2" w:rsidR="007A2138" w:rsidRDefault="007A2138" w:rsidP="007A2138">
      <w:pPr>
        <w:pStyle w:val="CETReferencetext"/>
      </w:pPr>
      <w:r>
        <w:t>Palau, J. M., 2019. Technical-economic study of the integration of renewable hybrid installations in municipal buildings. Bachelor's thesis, Jaume I University.</w:t>
      </w:r>
    </w:p>
    <w:p w14:paraId="6B6EBAA2" w14:textId="6A8E8A59" w:rsidR="007A2138" w:rsidRDefault="007A2138" w:rsidP="007A2138">
      <w:pPr>
        <w:pStyle w:val="CETReferencetext"/>
      </w:pPr>
      <w:r>
        <w:t>Rosso Cerón, A. M., Kafarov, V. 2015. Analysis on the Economic Feasibility of Power Generation from Renewable Energy Systems in Non-Interconnected Zones of Colombia, Study of Cases. Chemical Engineering Transaction, 43, 1447-1452.</w:t>
      </w:r>
    </w:p>
    <w:p w14:paraId="406D839A" w14:textId="061083FD" w:rsidR="00916D91" w:rsidRPr="0039542C" w:rsidRDefault="007A2138" w:rsidP="007A2138">
      <w:pPr>
        <w:pStyle w:val="CETReferencetext"/>
      </w:pPr>
      <w:r>
        <w:t>UPME, 2017. Emission Factors of the National Interconnected System Colombia-SIN. Retrieved on 30th January 2023 from Emission Factors of the National Interconnected System Colombia-SIN</w:t>
      </w:r>
      <w:r w:rsidR="00D84F73">
        <w:t xml:space="preserve"> &lt;</w:t>
      </w:r>
      <w:r>
        <w:t>1.upme.gov.co</w:t>
      </w:r>
      <w:r w:rsidR="00D84F73">
        <w:t>&gt;</w:t>
      </w:r>
      <w:r>
        <w:t xml:space="preserve"> accessed 15.6.2023 (in Spanish).</w:t>
      </w:r>
    </w:p>
    <w:sectPr w:rsidR="00916D91" w:rsidRPr="0039542C" w:rsidSect="00EF06D9">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Maria Rosso Cerón" w:date="2023-07-05T12:06:00Z" w:initials="AMRC">
    <w:p w14:paraId="08FEA269" w14:textId="77777777" w:rsidR="00220060" w:rsidRDefault="00220060">
      <w:pPr>
        <w:pStyle w:val="Textocomentario"/>
        <w:jc w:val="left"/>
      </w:pPr>
      <w:r>
        <w:rPr>
          <w:rStyle w:val="Refdecomentario"/>
        </w:rPr>
        <w:annotationRef/>
      </w:r>
      <w:r>
        <w:t>Dear Reviewers,</w:t>
      </w:r>
    </w:p>
    <w:p w14:paraId="2BA94E6B" w14:textId="77777777" w:rsidR="00220060" w:rsidRDefault="00220060">
      <w:pPr>
        <w:pStyle w:val="Textocomentario"/>
        <w:jc w:val="left"/>
      </w:pPr>
    </w:p>
    <w:p w14:paraId="19323089" w14:textId="77777777" w:rsidR="00220060" w:rsidRDefault="00220060">
      <w:pPr>
        <w:pStyle w:val="Textocomentario"/>
        <w:jc w:val="left"/>
      </w:pPr>
      <w:r>
        <w:t>Thank you for your valuable feedback and recommendations regarding the paper titled "Technical, Environmental, and Economic Evaluation of Alternatives for Hybrid Energy Generation for Rational Energy Use Scenarios at The Santander Technological Units Using Homer Pro Software" (Paper #149). We have carefully reviewed your comments and made the necessary revisions to address the concerns raised. Please find below our response to each reviewer's comments.</w:t>
      </w:r>
    </w:p>
    <w:p w14:paraId="357CC1E9" w14:textId="77777777" w:rsidR="00220060" w:rsidRDefault="00220060">
      <w:pPr>
        <w:pStyle w:val="Textocomentario"/>
        <w:jc w:val="left"/>
      </w:pPr>
    </w:p>
    <w:p w14:paraId="0E27EA71" w14:textId="77777777" w:rsidR="00220060" w:rsidRDefault="00220060">
      <w:pPr>
        <w:pStyle w:val="Textocomentario"/>
        <w:jc w:val="left"/>
      </w:pPr>
      <w:r>
        <w:rPr>
          <w:b/>
          <w:bCs/>
        </w:rPr>
        <w:t>Reviewer #1:</w:t>
      </w:r>
    </w:p>
    <w:p w14:paraId="2C59A44E" w14:textId="77777777" w:rsidR="00220060" w:rsidRDefault="00220060">
      <w:pPr>
        <w:pStyle w:val="Textocomentario"/>
        <w:jc w:val="left"/>
      </w:pPr>
    </w:p>
    <w:p w14:paraId="0601011B" w14:textId="77777777" w:rsidR="00220060" w:rsidRDefault="00220060">
      <w:pPr>
        <w:pStyle w:val="Textocomentario"/>
        <w:jc w:val="left"/>
      </w:pPr>
      <w:r>
        <w:t>We have revised and improved the written English in the paper to enhance readability and clarity.</w:t>
      </w:r>
    </w:p>
    <w:p w14:paraId="6F942832" w14:textId="77777777" w:rsidR="00220060" w:rsidRDefault="00220060">
      <w:pPr>
        <w:pStyle w:val="Textocomentario"/>
        <w:jc w:val="left"/>
      </w:pPr>
    </w:p>
    <w:p w14:paraId="21D6F9A1" w14:textId="77777777" w:rsidR="00220060" w:rsidRDefault="00220060">
      <w:pPr>
        <w:pStyle w:val="Textocomentario"/>
        <w:jc w:val="left"/>
      </w:pPr>
      <w:r>
        <w:t>We have provided additional information about HOMER Pro software, including its nature (commercial tool) and a brief explanation of how it works, the implemented models, and the outcomes it produces.</w:t>
      </w:r>
    </w:p>
    <w:p w14:paraId="4F336BE1" w14:textId="77777777" w:rsidR="00220060" w:rsidRDefault="00220060">
      <w:pPr>
        <w:pStyle w:val="Textocomentario"/>
        <w:jc w:val="left"/>
      </w:pPr>
    </w:p>
    <w:p w14:paraId="02BE8124" w14:textId="77777777" w:rsidR="00220060" w:rsidRDefault="00220060">
      <w:pPr>
        <w:pStyle w:val="Textocomentario"/>
        <w:jc w:val="left"/>
      </w:pPr>
      <w:r>
        <w:t>The format of the references has been adjusted to align with the Chemical Engineering Transactions (CET) style as specified in the word template.</w:t>
      </w:r>
    </w:p>
    <w:p w14:paraId="616CF2DB" w14:textId="77777777" w:rsidR="00220060" w:rsidRDefault="00220060">
      <w:pPr>
        <w:pStyle w:val="Textocomentario"/>
        <w:jc w:val="left"/>
      </w:pPr>
    </w:p>
    <w:p w14:paraId="2BAD9EEB" w14:textId="77777777" w:rsidR="00220060" w:rsidRDefault="00220060">
      <w:pPr>
        <w:pStyle w:val="Textocomentario"/>
        <w:jc w:val="left"/>
      </w:pPr>
      <w:r>
        <w:t>We have restructured Section 2 to condense the descriptive part and focus more directly on the methodology. The aim of the research has been clearly stated to avoid ambiguity.</w:t>
      </w:r>
    </w:p>
    <w:p w14:paraId="3EB6624E" w14:textId="77777777" w:rsidR="00220060" w:rsidRDefault="00220060">
      <w:pPr>
        <w:pStyle w:val="Textocomentario"/>
        <w:jc w:val="left"/>
      </w:pPr>
    </w:p>
    <w:p w14:paraId="75E6285E" w14:textId="77777777" w:rsidR="00220060" w:rsidRDefault="00220060">
      <w:pPr>
        <w:pStyle w:val="Textocomentario"/>
        <w:jc w:val="left"/>
      </w:pPr>
      <w:r>
        <w:t>We have added explanations for symbols used in the figures to improve their readability.</w:t>
      </w:r>
    </w:p>
    <w:p w14:paraId="19A79CC8" w14:textId="77777777" w:rsidR="00220060" w:rsidRDefault="00220060">
      <w:pPr>
        <w:pStyle w:val="Textocomentario"/>
        <w:jc w:val="left"/>
      </w:pPr>
    </w:p>
    <w:p w14:paraId="4E36573B" w14:textId="77777777" w:rsidR="00220060" w:rsidRDefault="00220060">
      <w:pPr>
        <w:pStyle w:val="Textocomentario"/>
        <w:jc w:val="left"/>
      </w:pPr>
      <w:r>
        <w:t>The process of generating scenarios has been clarified, including the step of the alternatives as results of HOMER.</w:t>
      </w:r>
    </w:p>
    <w:p w14:paraId="15BD6394" w14:textId="77777777" w:rsidR="00220060" w:rsidRDefault="00220060">
      <w:pPr>
        <w:pStyle w:val="Textocomentario"/>
        <w:jc w:val="left"/>
      </w:pPr>
    </w:p>
    <w:p w14:paraId="1DA1E2E2" w14:textId="77777777" w:rsidR="00220060" w:rsidRDefault="00220060">
      <w:pPr>
        <w:pStyle w:val="Textocomentario"/>
        <w:jc w:val="left"/>
      </w:pPr>
      <w:r>
        <w:t>Section 3 only includes the outcomes of the adopted methodology; the scenarios' generation process is described in this section. Please note that the alternatives (combination of energy conversion technologies and generated energy quantities) are the result of the simulation.</w:t>
      </w:r>
    </w:p>
    <w:p w14:paraId="6689C1D4" w14:textId="77777777" w:rsidR="00220060" w:rsidRDefault="00220060">
      <w:pPr>
        <w:pStyle w:val="Textocomentario"/>
        <w:jc w:val="left"/>
      </w:pPr>
    </w:p>
    <w:p w14:paraId="4DDDD807" w14:textId="77777777" w:rsidR="00220060" w:rsidRDefault="00220060">
      <w:pPr>
        <w:pStyle w:val="Textocomentario"/>
        <w:jc w:val="left"/>
      </w:pPr>
      <w:r>
        <w:t>We have removed the irrelevant detail regarding the UTS (Unidades Tecnológicas de Santander) and emphasized the size of energy consumption. Please note that it is necessary to have the distribution of energy consumption according to class schedules, as it is relevant in the institution's load curve.</w:t>
      </w:r>
    </w:p>
    <w:p w14:paraId="52B5619A" w14:textId="77777777" w:rsidR="00220060" w:rsidRDefault="00220060">
      <w:pPr>
        <w:pStyle w:val="Textocomentario"/>
        <w:jc w:val="left"/>
      </w:pPr>
    </w:p>
    <w:p w14:paraId="136E41B7" w14:textId="77777777" w:rsidR="00220060" w:rsidRDefault="00220060">
      <w:pPr>
        <w:pStyle w:val="Textocomentario"/>
        <w:jc w:val="left"/>
      </w:pPr>
      <w:r>
        <w:t>The spacing in paragraph 2.2 has been adjusted to conform to the default template.</w:t>
      </w:r>
    </w:p>
    <w:p w14:paraId="07DBCB1F" w14:textId="77777777" w:rsidR="00220060" w:rsidRDefault="00220060">
      <w:pPr>
        <w:pStyle w:val="Textocomentario"/>
        <w:jc w:val="left"/>
      </w:pPr>
    </w:p>
    <w:p w14:paraId="160C1C3C" w14:textId="77777777" w:rsidR="00220060" w:rsidRDefault="00220060">
      <w:pPr>
        <w:pStyle w:val="Textocomentario"/>
        <w:jc w:val="left"/>
      </w:pPr>
    </w:p>
    <w:p w14:paraId="69A3F792" w14:textId="77777777" w:rsidR="00220060" w:rsidRDefault="00220060">
      <w:pPr>
        <w:pStyle w:val="Textocomentario"/>
        <w:jc w:val="left"/>
      </w:pPr>
      <w:r>
        <w:rPr>
          <w:b/>
          <w:bCs/>
        </w:rPr>
        <w:t>Reviewer #2:</w:t>
      </w:r>
    </w:p>
    <w:p w14:paraId="525D8AB5" w14:textId="77777777" w:rsidR="00220060" w:rsidRDefault="00220060">
      <w:pPr>
        <w:pStyle w:val="Textocomentario"/>
        <w:jc w:val="left"/>
      </w:pPr>
    </w:p>
    <w:p w14:paraId="699F2675" w14:textId="77777777" w:rsidR="00220060" w:rsidRDefault="00220060">
      <w:pPr>
        <w:pStyle w:val="Textocomentario"/>
        <w:jc w:val="left"/>
      </w:pPr>
      <w:r>
        <w:t>We have emphasized the importance of diversifying energy sources while acknowledging the significant contribution of hydroelectric power. The claim regarding renewable energy sources' percentage has been clarified to avoid confusion. Please note that in the context of Colombia, large hydroelectric power plants are excluded from the set we call non-conventional renewable energy sources (according to the Ministry of Mines and Energy).</w:t>
      </w:r>
    </w:p>
    <w:p w14:paraId="19933524" w14:textId="77777777" w:rsidR="00220060" w:rsidRDefault="00220060">
      <w:pPr>
        <w:pStyle w:val="Textocomentario"/>
        <w:jc w:val="left"/>
      </w:pPr>
    </w:p>
    <w:p w14:paraId="3F6A695D" w14:textId="77777777" w:rsidR="00220060" w:rsidRDefault="00220060">
      <w:pPr>
        <w:pStyle w:val="Textocomentario"/>
        <w:jc w:val="left"/>
      </w:pPr>
      <w:r>
        <w:t>The process for selecting the four hybrid generation alternatives (A1, A2, A3, and A4) has been explained, including the basis for selecting the relative amounts of grid, solar, and wind power in each alternative (see the figures in the results). We have acknowledged that further discretization in power distribution percentages could lead to different optimums.</w:t>
      </w:r>
    </w:p>
    <w:p w14:paraId="7058F2F8" w14:textId="77777777" w:rsidR="00220060" w:rsidRDefault="00220060">
      <w:pPr>
        <w:pStyle w:val="Textocomentario"/>
        <w:jc w:val="left"/>
      </w:pPr>
    </w:p>
    <w:p w14:paraId="1F6DFA4C" w14:textId="77777777" w:rsidR="00220060" w:rsidRDefault="00220060">
      <w:pPr>
        <w:pStyle w:val="Textocomentario"/>
        <w:jc w:val="left"/>
      </w:pPr>
      <w:r>
        <w:t>The three saving scenarios have been described in the methodology section, providing a better conceptual layout of the paper, please note thar Alternatives A1 to A5 are results of the simulation. The numerical results presented in Figures are part of the simulation and Scientists who work with HOMER typically present this type of results through figures, which are outputs of the simulation system itself.</w:t>
      </w:r>
    </w:p>
    <w:p w14:paraId="59280628" w14:textId="77777777" w:rsidR="00220060" w:rsidRDefault="00220060">
      <w:pPr>
        <w:pStyle w:val="Textocomentario"/>
        <w:jc w:val="left"/>
      </w:pPr>
    </w:p>
    <w:p w14:paraId="6F81107C" w14:textId="77777777" w:rsidR="00220060" w:rsidRDefault="00220060">
      <w:pPr>
        <w:pStyle w:val="Textocomentario"/>
        <w:jc w:val="left"/>
      </w:pPr>
      <w:r>
        <w:t>Tables now include the percentage reduction in equivalent CO2 emissions for each scenario compared to A5.</w:t>
      </w:r>
    </w:p>
    <w:p w14:paraId="45624AB9" w14:textId="77777777" w:rsidR="00220060" w:rsidRDefault="00220060">
      <w:pPr>
        <w:pStyle w:val="Textocomentario"/>
        <w:jc w:val="left"/>
      </w:pPr>
    </w:p>
    <w:p w14:paraId="66D987C7" w14:textId="77777777" w:rsidR="00220060" w:rsidRDefault="00220060">
      <w:pPr>
        <w:pStyle w:val="Textocomentario"/>
        <w:jc w:val="left"/>
      </w:pPr>
      <w:r>
        <w:t xml:space="preserve">We acknowledge the limited scope of the environmental analysis, which currently focuses on GWP (global warming potential), we had explained why we use t of CO2 equivalent inside the paper. </w:t>
      </w:r>
    </w:p>
    <w:p w14:paraId="423ABEB3" w14:textId="77777777" w:rsidR="00220060" w:rsidRDefault="00220060">
      <w:pPr>
        <w:pStyle w:val="Textocomentario"/>
        <w:jc w:val="left"/>
      </w:pPr>
    </w:p>
    <w:p w14:paraId="62B2B7F6" w14:textId="77777777" w:rsidR="00220060" w:rsidRDefault="00220060">
      <w:pPr>
        <w:pStyle w:val="Textocomentario"/>
        <w:jc w:val="left"/>
      </w:pPr>
      <w:r>
        <w:t>We appreciate your thorough evaluation of our paper and the valuable suggestions you have provided. The revisions made in response to your feedback have significantly improved the clarity, relevance, and presentation of the research. We believe these changes address the major concerns raised and align the paper with the standards expected for publication.</w:t>
      </w:r>
    </w:p>
    <w:p w14:paraId="7D483786" w14:textId="77777777" w:rsidR="00220060" w:rsidRDefault="00220060">
      <w:pPr>
        <w:pStyle w:val="Textocomentario"/>
        <w:jc w:val="left"/>
      </w:pPr>
    </w:p>
    <w:p w14:paraId="568703BE" w14:textId="77777777" w:rsidR="00220060" w:rsidRDefault="00220060">
      <w:pPr>
        <w:pStyle w:val="Textocomentario"/>
        <w:jc w:val="left"/>
      </w:pPr>
      <w:r>
        <w:t>Thank you again for your time and consideration. We look forward to hearing your feedback on the revised version of the paper.</w:t>
      </w:r>
    </w:p>
    <w:p w14:paraId="14A777CD" w14:textId="77777777" w:rsidR="00220060" w:rsidRDefault="00220060">
      <w:pPr>
        <w:pStyle w:val="Textocomentario"/>
        <w:jc w:val="left"/>
      </w:pPr>
    </w:p>
    <w:p w14:paraId="77ABBCE6" w14:textId="77777777" w:rsidR="00220060" w:rsidRDefault="00220060">
      <w:pPr>
        <w:pStyle w:val="Textocomentario"/>
        <w:jc w:val="left"/>
      </w:pPr>
      <w:r>
        <w:t>Sincerely,</w:t>
      </w:r>
    </w:p>
    <w:p w14:paraId="127AC40F" w14:textId="77777777" w:rsidR="00220060" w:rsidRDefault="00220060">
      <w:pPr>
        <w:pStyle w:val="Textocomentario"/>
        <w:jc w:val="left"/>
      </w:pPr>
    </w:p>
    <w:p w14:paraId="0AC03AB6" w14:textId="77777777" w:rsidR="00220060" w:rsidRDefault="00220060">
      <w:pPr>
        <w:pStyle w:val="Textocomentario"/>
        <w:jc w:val="left"/>
      </w:pPr>
      <w:r>
        <w:t>Ana María Rosso Cerón</w:t>
      </w:r>
    </w:p>
    <w:p w14:paraId="0B9901A2" w14:textId="77777777" w:rsidR="00220060" w:rsidRDefault="00220060">
      <w:pPr>
        <w:pStyle w:val="Textocomentario"/>
        <w:jc w:val="left"/>
      </w:pPr>
      <w:r>
        <w:t>Chemical Engineering Ph. D</w:t>
      </w:r>
    </w:p>
    <w:p w14:paraId="7B6DA1EE" w14:textId="77777777" w:rsidR="00220060" w:rsidRDefault="00220060" w:rsidP="008B566F">
      <w:pPr>
        <w:pStyle w:val="Textocomentario"/>
        <w:jc w:val="left"/>
      </w:pPr>
      <w:r>
        <w:t>Environmental Engineering professor at Unidades</w:t>
      </w:r>
      <w:r>
        <w:rPr>
          <w:lang w:val="es-CO"/>
        </w:rPr>
        <w:t xml:space="preserve"> Tecnológicas de Santander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DA1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DB44" w16cex:dateUtc="2023-07-05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DA1EE" w16cid:durableId="284FDB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80F6" w14:textId="77777777" w:rsidR="00A40A72" w:rsidRDefault="00A40A72" w:rsidP="004F5E36">
      <w:r>
        <w:separator/>
      </w:r>
    </w:p>
  </w:endnote>
  <w:endnote w:type="continuationSeparator" w:id="0">
    <w:p w14:paraId="18095F9C" w14:textId="77777777" w:rsidR="00A40A72" w:rsidRDefault="00A40A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FE2A" w14:textId="77777777" w:rsidR="00A40A72" w:rsidRDefault="00A40A72" w:rsidP="004F5E36">
      <w:r>
        <w:separator/>
      </w:r>
    </w:p>
  </w:footnote>
  <w:footnote w:type="continuationSeparator" w:id="0">
    <w:p w14:paraId="367B1DFC" w14:textId="77777777" w:rsidR="00A40A72" w:rsidRDefault="00A40A7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E742A3E"/>
    <w:multiLevelType w:val="hybridMultilevel"/>
    <w:tmpl w:val="915E3E48"/>
    <w:lvl w:ilvl="0" w:tplc="AE6C09C8">
      <w:start w:val="1"/>
      <w:numFmt w:val="bullet"/>
      <w:lvlText w:val=""/>
      <w:lvlJc w:val="left"/>
      <w:pPr>
        <w:ind w:left="1060" w:hanging="360"/>
      </w:pPr>
      <w:rPr>
        <w:rFonts w:ascii="Symbol" w:hAnsi="Symbol"/>
      </w:rPr>
    </w:lvl>
    <w:lvl w:ilvl="1" w:tplc="9CE8D980">
      <w:start w:val="1"/>
      <w:numFmt w:val="bullet"/>
      <w:lvlText w:val=""/>
      <w:lvlJc w:val="left"/>
      <w:pPr>
        <w:ind w:left="1060" w:hanging="360"/>
      </w:pPr>
      <w:rPr>
        <w:rFonts w:ascii="Symbol" w:hAnsi="Symbol"/>
      </w:rPr>
    </w:lvl>
    <w:lvl w:ilvl="2" w:tplc="917CA424">
      <w:start w:val="1"/>
      <w:numFmt w:val="bullet"/>
      <w:lvlText w:val=""/>
      <w:lvlJc w:val="left"/>
      <w:pPr>
        <w:ind w:left="1060" w:hanging="360"/>
      </w:pPr>
      <w:rPr>
        <w:rFonts w:ascii="Symbol" w:hAnsi="Symbol"/>
      </w:rPr>
    </w:lvl>
    <w:lvl w:ilvl="3" w:tplc="879038C2">
      <w:start w:val="1"/>
      <w:numFmt w:val="bullet"/>
      <w:lvlText w:val=""/>
      <w:lvlJc w:val="left"/>
      <w:pPr>
        <w:ind w:left="1060" w:hanging="360"/>
      </w:pPr>
      <w:rPr>
        <w:rFonts w:ascii="Symbol" w:hAnsi="Symbol"/>
      </w:rPr>
    </w:lvl>
    <w:lvl w:ilvl="4" w:tplc="CC266D7C">
      <w:start w:val="1"/>
      <w:numFmt w:val="bullet"/>
      <w:lvlText w:val=""/>
      <w:lvlJc w:val="left"/>
      <w:pPr>
        <w:ind w:left="1060" w:hanging="360"/>
      </w:pPr>
      <w:rPr>
        <w:rFonts w:ascii="Symbol" w:hAnsi="Symbol"/>
      </w:rPr>
    </w:lvl>
    <w:lvl w:ilvl="5" w:tplc="89807052">
      <w:start w:val="1"/>
      <w:numFmt w:val="bullet"/>
      <w:lvlText w:val=""/>
      <w:lvlJc w:val="left"/>
      <w:pPr>
        <w:ind w:left="1060" w:hanging="360"/>
      </w:pPr>
      <w:rPr>
        <w:rFonts w:ascii="Symbol" w:hAnsi="Symbol"/>
      </w:rPr>
    </w:lvl>
    <w:lvl w:ilvl="6" w:tplc="75F4AD8C">
      <w:start w:val="1"/>
      <w:numFmt w:val="bullet"/>
      <w:lvlText w:val=""/>
      <w:lvlJc w:val="left"/>
      <w:pPr>
        <w:ind w:left="1060" w:hanging="360"/>
      </w:pPr>
      <w:rPr>
        <w:rFonts w:ascii="Symbol" w:hAnsi="Symbol"/>
      </w:rPr>
    </w:lvl>
    <w:lvl w:ilvl="7" w:tplc="67AEF26A">
      <w:start w:val="1"/>
      <w:numFmt w:val="bullet"/>
      <w:lvlText w:val=""/>
      <w:lvlJc w:val="left"/>
      <w:pPr>
        <w:ind w:left="1060" w:hanging="360"/>
      </w:pPr>
      <w:rPr>
        <w:rFonts w:ascii="Symbol" w:hAnsi="Symbol"/>
      </w:rPr>
    </w:lvl>
    <w:lvl w:ilvl="8" w:tplc="799818A2">
      <w:start w:val="1"/>
      <w:numFmt w:val="bullet"/>
      <w:lvlText w:val=""/>
      <w:lvlJc w:val="left"/>
      <w:pPr>
        <w:ind w:left="1060" w:hanging="360"/>
      </w:pPr>
      <w:rPr>
        <w:rFonts w:ascii="Symbol" w:hAnsi="Symbol"/>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3731E3"/>
    <w:multiLevelType w:val="hybridMultilevel"/>
    <w:tmpl w:val="285A6E96"/>
    <w:lvl w:ilvl="0" w:tplc="D032A84C">
      <w:start w:val="1"/>
      <w:numFmt w:val="bullet"/>
      <w:lvlText w:val=""/>
      <w:lvlJc w:val="left"/>
      <w:pPr>
        <w:ind w:left="720" w:hanging="360"/>
      </w:pPr>
      <w:rPr>
        <w:rFonts w:ascii="Symbol" w:hAnsi="Symbol"/>
      </w:rPr>
    </w:lvl>
    <w:lvl w:ilvl="1" w:tplc="0666E324">
      <w:start w:val="1"/>
      <w:numFmt w:val="bullet"/>
      <w:lvlText w:val=""/>
      <w:lvlJc w:val="left"/>
      <w:pPr>
        <w:ind w:left="720" w:hanging="360"/>
      </w:pPr>
      <w:rPr>
        <w:rFonts w:ascii="Symbol" w:hAnsi="Symbol"/>
      </w:rPr>
    </w:lvl>
    <w:lvl w:ilvl="2" w:tplc="7D409C1E">
      <w:start w:val="1"/>
      <w:numFmt w:val="bullet"/>
      <w:lvlText w:val=""/>
      <w:lvlJc w:val="left"/>
      <w:pPr>
        <w:ind w:left="720" w:hanging="360"/>
      </w:pPr>
      <w:rPr>
        <w:rFonts w:ascii="Symbol" w:hAnsi="Symbol"/>
      </w:rPr>
    </w:lvl>
    <w:lvl w:ilvl="3" w:tplc="AF7813EA">
      <w:start w:val="1"/>
      <w:numFmt w:val="bullet"/>
      <w:lvlText w:val=""/>
      <w:lvlJc w:val="left"/>
      <w:pPr>
        <w:ind w:left="720" w:hanging="360"/>
      </w:pPr>
      <w:rPr>
        <w:rFonts w:ascii="Symbol" w:hAnsi="Symbol"/>
      </w:rPr>
    </w:lvl>
    <w:lvl w:ilvl="4" w:tplc="58FAE2C0">
      <w:start w:val="1"/>
      <w:numFmt w:val="bullet"/>
      <w:lvlText w:val=""/>
      <w:lvlJc w:val="left"/>
      <w:pPr>
        <w:ind w:left="720" w:hanging="360"/>
      </w:pPr>
      <w:rPr>
        <w:rFonts w:ascii="Symbol" w:hAnsi="Symbol"/>
      </w:rPr>
    </w:lvl>
    <w:lvl w:ilvl="5" w:tplc="67383F66">
      <w:start w:val="1"/>
      <w:numFmt w:val="bullet"/>
      <w:lvlText w:val=""/>
      <w:lvlJc w:val="left"/>
      <w:pPr>
        <w:ind w:left="720" w:hanging="360"/>
      </w:pPr>
      <w:rPr>
        <w:rFonts w:ascii="Symbol" w:hAnsi="Symbol"/>
      </w:rPr>
    </w:lvl>
    <w:lvl w:ilvl="6" w:tplc="BDB67B22">
      <w:start w:val="1"/>
      <w:numFmt w:val="bullet"/>
      <w:lvlText w:val=""/>
      <w:lvlJc w:val="left"/>
      <w:pPr>
        <w:ind w:left="720" w:hanging="360"/>
      </w:pPr>
      <w:rPr>
        <w:rFonts w:ascii="Symbol" w:hAnsi="Symbol"/>
      </w:rPr>
    </w:lvl>
    <w:lvl w:ilvl="7" w:tplc="663EED5E">
      <w:start w:val="1"/>
      <w:numFmt w:val="bullet"/>
      <w:lvlText w:val=""/>
      <w:lvlJc w:val="left"/>
      <w:pPr>
        <w:ind w:left="720" w:hanging="360"/>
      </w:pPr>
      <w:rPr>
        <w:rFonts w:ascii="Symbol" w:hAnsi="Symbol"/>
      </w:rPr>
    </w:lvl>
    <w:lvl w:ilvl="8" w:tplc="B8342D80">
      <w:start w:val="1"/>
      <w:numFmt w:val="bullet"/>
      <w:lvlText w:val=""/>
      <w:lvlJc w:val="left"/>
      <w:pPr>
        <w:ind w:left="720" w:hanging="360"/>
      </w:pPr>
      <w:rPr>
        <w:rFonts w:ascii="Symbol" w:hAnsi="Symbol"/>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C6C48FB"/>
    <w:multiLevelType w:val="hybridMultilevel"/>
    <w:tmpl w:val="02B8BAD8"/>
    <w:lvl w:ilvl="0" w:tplc="A64C63D6">
      <w:start w:val="1"/>
      <w:numFmt w:val="bullet"/>
      <w:lvlText w:val=""/>
      <w:lvlJc w:val="left"/>
      <w:pPr>
        <w:ind w:left="720" w:hanging="360"/>
      </w:pPr>
      <w:rPr>
        <w:rFonts w:ascii="Symbol" w:hAnsi="Symbol"/>
      </w:rPr>
    </w:lvl>
    <w:lvl w:ilvl="1" w:tplc="90C43E04">
      <w:start w:val="1"/>
      <w:numFmt w:val="bullet"/>
      <w:lvlText w:val=""/>
      <w:lvlJc w:val="left"/>
      <w:pPr>
        <w:ind w:left="720" w:hanging="360"/>
      </w:pPr>
      <w:rPr>
        <w:rFonts w:ascii="Symbol" w:hAnsi="Symbol"/>
      </w:rPr>
    </w:lvl>
    <w:lvl w:ilvl="2" w:tplc="787CA834">
      <w:start w:val="1"/>
      <w:numFmt w:val="bullet"/>
      <w:lvlText w:val=""/>
      <w:lvlJc w:val="left"/>
      <w:pPr>
        <w:ind w:left="720" w:hanging="360"/>
      </w:pPr>
      <w:rPr>
        <w:rFonts w:ascii="Symbol" w:hAnsi="Symbol"/>
      </w:rPr>
    </w:lvl>
    <w:lvl w:ilvl="3" w:tplc="7CC65C2A">
      <w:start w:val="1"/>
      <w:numFmt w:val="bullet"/>
      <w:lvlText w:val=""/>
      <w:lvlJc w:val="left"/>
      <w:pPr>
        <w:ind w:left="720" w:hanging="360"/>
      </w:pPr>
      <w:rPr>
        <w:rFonts w:ascii="Symbol" w:hAnsi="Symbol"/>
      </w:rPr>
    </w:lvl>
    <w:lvl w:ilvl="4" w:tplc="3AD2FB04">
      <w:start w:val="1"/>
      <w:numFmt w:val="bullet"/>
      <w:lvlText w:val=""/>
      <w:lvlJc w:val="left"/>
      <w:pPr>
        <w:ind w:left="720" w:hanging="360"/>
      </w:pPr>
      <w:rPr>
        <w:rFonts w:ascii="Symbol" w:hAnsi="Symbol"/>
      </w:rPr>
    </w:lvl>
    <w:lvl w:ilvl="5" w:tplc="9242911C">
      <w:start w:val="1"/>
      <w:numFmt w:val="bullet"/>
      <w:lvlText w:val=""/>
      <w:lvlJc w:val="left"/>
      <w:pPr>
        <w:ind w:left="720" w:hanging="360"/>
      </w:pPr>
      <w:rPr>
        <w:rFonts w:ascii="Symbol" w:hAnsi="Symbol"/>
      </w:rPr>
    </w:lvl>
    <w:lvl w:ilvl="6" w:tplc="6B0E89AA">
      <w:start w:val="1"/>
      <w:numFmt w:val="bullet"/>
      <w:lvlText w:val=""/>
      <w:lvlJc w:val="left"/>
      <w:pPr>
        <w:ind w:left="720" w:hanging="360"/>
      </w:pPr>
      <w:rPr>
        <w:rFonts w:ascii="Symbol" w:hAnsi="Symbol"/>
      </w:rPr>
    </w:lvl>
    <w:lvl w:ilvl="7" w:tplc="D4DC8096">
      <w:start w:val="1"/>
      <w:numFmt w:val="bullet"/>
      <w:lvlText w:val=""/>
      <w:lvlJc w:val="left"/>
      <w:pPr>
        <w:ind w:left="720" w:hanging="360"/>
      </w:pPr>
      <w:rPr>
        <w:rFonts w:ascii="Symbol" w:hAnsi="Symbol"/>
      </w:rPr>
    </w:lvl>
    <w:lvl w:ilvl="8" w:tplc="658886E0">
      <w:start w:val="1"/>
      <w:numFmt w:val="bullet"/>
      <w:lvlText w:val=""/>
      <w:lvlJc w:val="left"/>
      <w:pPr>
        <w:ind w:left="720" w:hanging="360"/>
      </w:pPr>
      <w:rPr>
        <w:rFonts w:ascii="Symbol" w:hAnsi="Symbol"/>
      </w:rPr>
    </w:lvl>
  </w:abstractNum>
  <w:num w:numId="1" w16cid:durableId="193232676">
    <w:abstractNumId w:val="11"/>
  </w:num>
  <w:num w:numId="2" w16cid:durableId="1545018616">
    <w:abstractNumId w:val="8"/>
  </w:num>
  <w:num w:numId="3" w16cid:durableId="1185242127">
    <w:abstractNumId w:val="3"/>
  </w:num>
  <w:num w:numId="4" w16cid:durableId="914238610">
    <w:abstractNumId w:val="2"/>
  </w:num>
  <w:num w:numId="5" w16cid:durableId="1497112781">
    <w:abstractNumId w:val="1"/>
  </w:num>
  <w:num w:numId="6" w16cid:durableId="230384684">
    <w:abstractNumId w:val="0"/>
  </w:num>
  <w:num w:numId="7" w16cid:durableId="413359200">
    <w:abstractNumId w:val="9"/>
  </w:num>
  <w:num w:numId="8" w16cid:durableId="1968660528">
    <w:abstractNumId w:val="7"/>
  </w:num>
  <w:num w:numId="9" w16cid:durableId="959994078">
    <w:abstractNumId w:val="6"/>
  </w:num>
  <w:num w:numId="10" w16cid:durableId="2119057282">
    <w:abstractNumId w:val="5"/>
  </w:num>
  <w:num w:numId="11" w16cid:durableId="986010705">
    <w:abstractNumId w:val="4"/>
  </w:num>
  <w:num w:numId="12" w16cid:durableId="842742587">
    <w:abstractNumId w:val="19"/>
  </w:num>
  <w:num w:numId="13" w16cid:durableId="1689678998">
    <w:abstractNumId w:val="13"/>
  </w:num>
  <w:num w:numId="14" w16cid:durableId="1351183739">
    <w:abstractNumId w:val="20"/>
  </w:num>
  <w:num w:numId="15" w16cid:durableId="1490629292">
    <w:abstractNumId w:val="22"/>
  </w:num>
  <w:num w:numId="16" w16cid:durableId="686176103">
    <w:abstractNumId w:val="21"/>
  </w:num>
  <w:num w:numId="17" w16cid:durableId="857157741">
    <w:abstractNumId w:val="12"/>
  </w:num>
  <w:num w:numId="18" w16cid:durableId="612589399">
    <w:abstractNumId w:val="13"/>
    <w:lvlOverride w:ilvl="0">
      <w:startOverride w:val="1"/>
    </w:lvlOverride>
  </w:num>
  <w:num w:numId="19" w16cid:durableId="2003312222">
    <w:abstractNumId w:val="18"/>
  </w:num>
  <w:num w:numId="20" w16cid:durableId="1404990321">
    <w:abstractNumId w:val="17"/>
  </w:num>
  <w:num w:numId="21" w16cid:durableId="1086339850">
    <w:abstractNumId w:val="16"/>
  </w:num>
  <w:num w:numId="22" w16cid:durableId="1960335210">
    <w:abstractNumId w:val="15"/>
  </w:num>
  <w:num w:numId="23" w16cid:durableId="750195807">
    <w:abstractNumId w:val="10"/>
  </w:num>
  <w:num w:numId="24" w16cid:durableId="324750674">
    <w:abstractNumId w:val="23"/>
  </w:num>
  <w:num w:numId="25" w16cid:durableId="752244321">
    <w:abstractNumId w:val="14"/>
  </w:num>
  <w:num w:numId="26" w16cid:durableId="3086761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Rosso Cerón">
    <w15:presenceInfo w15:providerId="Windows Live" w15:userId="afbcfb9bf99b7e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2AD2"/>
    <w:rsid w:val="000304F0"/>
    <w:rsid w:val="0003148D"/>
    <w:rsid w:val="00031EEC"/>
    <w:rsid w:val="00051566"/>
    <w:rsid w:val="0005253D"/>
    <w:rsid w:val="00055E56"/>
    <w:rsid w:val="000562A9"/>
    <w:rsid w:val="00056B08"/>
    <w:rsid w:val="00062A9A"/>
    <w:rsid w:val="00065058"/>
    <w:rsid w:val="00072C2C"/>
    <w:rsid w:val="00080B7A"/>
    <w:rsid w:val="00086C39"/>
    <w:rsid w:val="0009354E"/>
    <w:rsid w:val="000A03B2"/>
    <w:rsid w:val="000C07B5"/>
    <w:rsid w:val="000C52BB"/>
    <w:rsid w:val="000D0268"/>
    <w:rsid w:val="000D34BE"/>
    <w:rsid w:val="000E102F"/>
    <w:rsid w:val="000E36F1"/>
    <w:rsid w:val="000E3A73"/>
    <w:rsid w:val="000E414A"/>
    <w:rsid w:val="000F093C"/>
    <w:rsid w:val="000F787B"/>
    <w:rsid w:val="001049A2"/>
    <w:rsid w:val="00105181"/>
    <w:rsid w:val="001162F0"/>
    <w:rsid w:val="0012091F"/>
    <w:rsid w:val="001210FD"/>
    <w:rsid w:val="00126BC2"/>
    <w:rsid w:val="001308B6"/>
    <w:rsid w:val="0013121F"/>
    <w:rsid w:val="00131FE6"/>
    <w:rsid w:val="0013263F"/>
    <w:rsid w:val="001331DF"/>
    <w:rsid w:val="00134DE4"/>
    <w:rsid w:val="00137CEB"/>
    <w:rsid w:val="0014034D"/>
    <w:rsid w:val="00142C0B"/>
    <w:rsid w:val="00144D16"/>
    <w:rsid w:val="001468BF"/>
    <w:rsid w:val="00150E59"/>
    <w:rsid w:val="00152DE3"/>
    <w:rsid w:val="00154493"/>
    <w:rsid w:val="001623A2"/>
    <w:rsid w:val="00164CF9"/>
    <w:rsid w:val="001667A6"/>
    <w:rsid w:val="00170110"/>
    <w:rsid w:val="00176F9E"/>
    <w:rsid w:val="00177E0C"/>
    <w:rsid w:val="00184AD6"/>
    <w:rsid w:val="001A4AF7"/>
    <w:rsid w:val="001B0349"/>
    <w:rsid w:val="001B1E93"/>
    <w:rsid w:val="001B34DB"/>
    <w:rsid w:val="001B65C1"/>
    <w:rsid w:val="001C684B"/>
    <w:rsid w:val="001D0CFB"/>
    <w:rsid w:val="001D21AF"/>
    <w:rsid w:val="001D53FC"/>
    <w:rsid w:val="001E1FEF"/>
    <w:rsid w:val="001E26C1"/>
    <w:rsid w:val="001F0FFC"/>
    <w:rsid w:val="001F42A5"/>
    <w:rsid w:val="001F6C26"/>
    <w:rsid w:val="001F7B9D"/>
    <w:rsid w:val="00200854"/>
    <w:rsid w:val="00201C93"/>
    <w:rsid w:val="00206AF3"/>
    <w:rsid w:val="00210482"/>
    <w:rsid w:val="00220060"/>
    <w:rsid w:val="002224B4"/>
    <w:rsid w:val="002352BC"/>
    <w:rsid w:val="00242637"/>
    <w:rsid w:val="002447EF"/>
    <w:rsid w:val="00251550"/>
    <w:rsid w:val="00263B05"/>
    <w:rsid w:val="00270CCA"/>
    <w:rsid w:val="0027221A"/>
    <w:rsid w:val="00275153"/>
    <w:rsid w:val="00275B61"/>
    <w:rsid w:val="00277AF2"/>
    <w:rsid w:val="00280FAF"/>
    <w:rsid w:val="00282656"/>
    <w:rsid w:val="002948FC"/>
    <w:rsid w:val="00296B83"/>
    <w:rsid w:val="002A30BF"/>
    <w:rsid w:val="002A77CB"/>
    <w:rsid w:val="002B4015"/>
    <w:rsid w:val="002B40B0"/>
    <w:rsid w:val="002B653A"/>
    <w:rsid w:val="002B78CE"/>
    <w:rsid w:val="002C2FB6"/>
    <w:rsid w:val="002D7323"/>
    <w:rsid w:val="002E5FA7"/>
    <w:rsid w:val="002E7CA8"/>
    <w:rsid w:val="002F3309"/>
    <w:rsid w:val="003008CE"/>
    <w:rsid w:val="003009B7"/>
    <w:rsid w:val="00300E56"/>
    <w:rsid w:val="0030152C"/>
    <w:rsid w:val="0030469C"/>
    <w:rsid w:val="0031151F"/>
    <w:rsid w:val="00321CA6"/>
    <w:rsid w:val="00323763"/>
    <w:rsid w:val="00323C5F"/>
    <w:rsid w:val="003268AA"/>
    <w:rsid w:val="00334C09"/>
    <w:rsid w:val="00337EED"/>
    <w:rsid w:val="00357955"/>
    <w:rsid w:val="003601BF"/>
    <w:rsid w:val="003637A3"/>
    <w:rsid w:val="00370342"/>
    <w:rsid w:val="003723D4"/>
    <w:rsid w:val="00381905"/>
    <w:rsid w:val="00383CE2"/>
    <w:rsid w:val="00384089"/>
    <w:rsid w:val="00384CC8"/>
    <w:rsid w:val="003871FD"/>
    <w:rsid w:val="0039542C"/>
    <w:rsid w:val="003A1E30"/>
    <w:rsid w:val="003A2829"/>
    <w:rsid w:val="003A6FC6"/>
    <w:rsid w:val="003A7D1C"/>
    <w:rsid w:val="003B304B"/>
    <w:rsid w:val="003B3146"/>
    <w:rsid w:val="003D5781"/>
    <w:rsid w:val="003E10DF"/>
    <w:rsid w:val="003E1EB9"/>
    <w:rsid w:val="003F015E"/>
    <w:rsid w:val="00400414"/>
    <w:rsid w:val="00401B25"/>
    <w:rsid w:val="00403C1C"/>
    <w:rsid w:val="004117D5"/>
    <w:rsid w:val="0041446B"/>
    <w:rsid w:val="00422E68"/>
    <w:rsid w:val="00423C85"/>
    <w:rsid w:val="00434DCD"/>
    <w:rsid w:val="0044071E"/>
    <w:rsid w:val="0044329C"/>
    <w:rsid w:val="00453E24"/>
    <w:rsid w:val="00457456"/>
    <w:rsid w:val="004577FE"/>
    <w:rsid w:val="00457B9C"/>
    <w:rsid w:val="0046164A"/>
    <w:rsid w:val="004628D2"/>
    <w:rsid w:val="00462DCD"/>
    <w:rsid w:val="004648AD"/>
    <w:rsid w:val="004703A9"/>
    <w:rsid w:val="004760DE"/>
    <w:rsid w:val="004763D7"/>
    <w:rsid w:val="00480DFF"/>
    <w:rsid w:val="00481019"/>
    <w:rsid w:val="004A004E"/>
    <w:rsid w:val="004A24CF"/>
    <w:rsid w:val="004B16AA"/>
    <w:rsid w:val="004C3D1D"/>
    <w:rsid w:val="004C3D84"/>
    <w:rsid w:val="004C428F"/>
    <w:rsid w:val="004C4894"/>
    <w:rsid w:val="004C7913"/>
    <w:rsid w:val="004D7996"/>
    <w:rsid w:val="004E4DD6"/>
    <w:rsid w:val="004F5E36"/>
    <w:rsid w:val="00500E5D"/>
    <w:rsid w:val="00507B47"/>
    <w:rsid w:val="00507BEF"/>
    <w:rsid w:val="00507CC9"/>
    <w:rsid w:val="005119A5"/>
    <w:rsid w:val="00516AAC"/>
    <w:rsid w:val="00517A2E"/>
    <w:rsid w:val="005278B7"/>
    <w:rsid w:val="00532016"/>
    <w:rsid w:val="005346C8"/>
    <w:rsid w:val="00542C21"/>
    <w:rsid w:val="00543E7D"/>
    <w:rsid w:val="00547A68"/>
    <w:rsid w:val="005531C9"/>
    <w:rsid w:val="005573B3"/>
    <w:rsid w:val="00570C43"/>
    <w:rsid w:val="005738EB"/>
    <w:rsid w:val="00593D32"/>
    <w:rsid w:val="005A0A38"/>
    <w:rsid w:val="005A1019"/>
    <w:rsid w:val="005A49FC"/>
    <w:rsid w:val="005B0C7F"/>
    <w:rsid w:val="005B2110"/>
    <w:rsid w:val="005B5385"/>
    <w:rsid w:val="005B61E6"/>
    <w:rsid w:val="005C77E1"/>
    <w:rsid w:val="005D668A"/>
    <w:rsid w:val="005D6A2F"/>
    <w:rsid w:val="005E1A82"/>
    <w:rsid w:val="005E794C"/>
    <w:rsid w:val="005E7C48"/>
    <w:rsid w:val="005F0A28"/>
    <w:rsid w:val="005F0E5E"/>
    <w:rsid w:val="00600535"/>
    <w:rsid w:val="00610CD6"/>
    <w:rsid w:val="00613E65"/>
    <w:rsid w:val="00616332"/>
    <w:rsid w:val="00620DEE"/>
    <w:rsid w:val="00621E79"/>
    <w:rsid w:val="00621F92"/>
    <w:rsid w:val="0062280A"/>
    <w:rsid w:val="00625639"/>
    <w:rsid w:val="00631B33"/>
    <w:rsid w:val="00640DD1"/>
    <w:rsid w:val="0064184D"/>
    <w:rsid w:val="006422CC"/>
    <w:rsid w:val="00643822"/>
    <w:rsid w:val="0064531D"/>
    <w:rsid w:val="00660E3E"/>
    <w:rsid w:val="00662E74"/>
    <w:rsid w:val="00667B5B"/>
    <w:rsid w:val="006771A6"/>
    <w:rsid w:val="00677CB9"/>
    <w:rsid w:val="00680C23"/>
    <w:rsid w:val="00691225"/>
    <w:rsid w:val="00692D24"/>
    <w:rsid w:val="00693766"/>
    <w:rsid w:val="006A3281"/>
    <w:rsid w:val="006A356F"/>
    <w:rsid w:val="006A4742"/>
    <w:rsid w:val="006A4FFC"/>
    <w:rsid w:val="006B1E9E"/>
    <w:rsid w:val="006B4888"/>
    <w:rsid w:val="006B5EB0"/>
    <w:rsid w:val="006C0213"/>
    <w:rsid w:val="006C2E45"/>
    <w:rsid w:val="006C359C"/>
    <w:rsid w:val="006C4F8C"/>
    <w:rsid w:val="006C5579"/>
    <w:rsid w:val="006D6E8B"/>
    <w:rsid w:val="006E0008"/>
    <w:rsid w:val="006E737D"/>
    <w:rsid w:val="006E77BA"/>
    <w:rsid w:val="007029B3"/>
    <w:rsid w:val="00713973"/>
    <w:rsid w:val="00720A24"/>
    <w:rsid w:val="00732386"/>
    <w:rsid w:val="0073514D"/>
    <w:rsid w:val="007447F3"/>
    <w:rsid w:val="0075499F"/>
    <w:rsid w:val="00755DC9"/>
    <w:rsid w:val="007635AE"/>
    <w:rsid w:val="007661C8"/>
    <w:rsid w:val="0077098D"/>
    <w:rsid w:val="00773274"/>
    <w:rsid w:val="00775984"/>
    <w:rsid w:val="00792F41"/>
    <w:rsid w:val="007931FA"/>
    <w:rsid w:val="007A2138"/>
    <w:rsid w:val="007A4861"/>
    <w:rsid w:val="007A76F6"/>
    <w:rsid w:val="007A7BBA"/>
    <w:rsid w:val="007B0C50"/>
    <w:rsid w:val="007B48F9"/>
    <w:rsid w:val="007C1A43"/>
    <w:rsid w:val="007D0951"/>
    <w:rsid w:val="007D3449"/>
    <w:rsid w:val="007D4368"/>
    <w:rsid w:val="007D6FD6"/>
    <w:rsid w:val="007E03B1"/>
    <w:rsid w:val="0080013E"/>
    <w:rsid w:val="00813288"/>
    <w:rsid w:val="0081383B"/>
    <w:rsid w:val="008149A5"/>
    <w:rsid w:val="008168FC"/>
    <w:rsid w:val="008244E2"/>
    <w:rsid w:val="00830996"/>
    <w:rsid w:val="00832E89"/>
    <w:rsid w:val="008345F1"/>
    <w:rsid w:val="00865B07"/>
    <w:rsid w:val="008667EA"/>
    <w:rsid w:val="0087637F"/>
    <w:rsid w:val="008923AB"/>
    <w:rsid w:val="00892AD5"/>
    <w:rsid w:val="008A1512"/>
    <w:rsid w:val="008B60BD"/>
    <w:rsid w:val="008B7C03"/>
    <w:rsid w:val="008D32B9"/>
    <w:rsid w:val="008D433B"/>
    <w:rsid w:val="008D4A16"/>
    <w:rsid w:val="008E484D"/>
    <w:rsid w:val="008E566E"/>
    <w:rsid w:val="00901284"/>
    <w:rsid w:val="0090161A"/>
    <w:rsid w:val="00901EB6"/>
    <w:rsid w:val="00904C62"/>
    <w:rsid w:val="00916D91"/>
    <w:rsid w:val="00917C1B"/>
    <w:rsid w:val="00922BA8"/>
    <w:rsid w:val="009233B2"/>
    <w:rsid w:val="00924DAC"/>
    <w:rsid w:val="00927058"/>
    <w:rsid w:val="00935D0E"/>
    <w:rsid w:val="00942750"/>
    <w:rsid w:val="009448B3"/>
    <w:rsid w:val="009450CE"/>
    <w:rsid w:val="009459BB"/>
    <w:rsid w:val="00947179"/>
    <w:rsid w:val="0095151B"/>
    <w:rsid w:val="0095164B"/>
    <w:rsid w:val="00954090"/>
    <w:rsid w:val="009573E7"/>
    <w:rsid w:val="00960E30"/>
    <w:rsid w:val="00963E05"/>
    <w:rsid w:val="00964862"/>
    <w:rsid w:val="00964A45"/>
    <w:rsid w:val="00967843"/>
    <w:rsid w:val="00967D54"/>
    <w:rsid w:val="00971028"/>
    <w:rsid w:val="00976F0E"/>
    <w:rsid w:val="00993B84"/>
    <w:rsid w:val="00996483"/>
    <w:rsid w:val="00996F5A"/>
    <w:rsid w:val="009A51E1"/>
    <w:rsid w:val="009B041A"/>
    <w:rsid w:val="009C37C3"/>
    <w:rsid w:val="009C7C86"/>
    <w:rsid w:val="009D2FF7"/>
    <w:rsid w:val="009E7884"/>
    <w:rsid w:val="009E788A"/>
    <w:rsid w:val="009E7D58"/>
    <w:rsid w:val="009F0E08"/>
    <w:rsid w:val="009F2CB8"/>
    <w:rsid w:val="00A05011"/>
    <w:rsid w:val="00A073DD"/>
    <w:rsid w:val="00A160E5"/>
    <w:rsid w:val="00A1763D"/>
    <w:rsid w:val="00A17CEC"/>
    <w:rsid w:val="00A20BF9"/>
    <w:rsid w:val="00A2289C"/>
    <w:rsid w:val="00A27EF0"/>
    <w:rsid w:val="00A40A72"/>
    <w:rsid w:val="00A42361"/>
    <w:rsid w:val="00A50B20"/>
    <w:rsid w:val="00A51240"/>
    <w:rsid w:val="00A51390"/>
    <w:rsid w:val="00A60D13"/>
    <w:rsid w:val="00A7223D"/>
    <w:rsid w:val="00A72745"/>
    <w:rsid w:val="00A744F5"/>
    <w:rsid w:val="00A76EFC"/>
    <w:rsid w:val="00A80346"/>
    <w:rsid w:val="00A85F1A"/>
    <w:rsid w:val="00A8684E"/>
    <w:rsid w:val="00A87D50"/>
    <w:rsid w:val="00A91010"/>
    <w:rsid w:val="00A92064"/>
    <w:rsid w:val="00A97F29"/>
    <w:rsid w:val="00AA63CE"/>
    <w:rsid w:val="00AA702E"/>
    <w:rsid w:val="00AA7D26"/>
    <w:rsid w:val="00AB0964"/>
    <w:rsid w:val="00AB4358"/>
    <w:rsid w:val="00AB5011"/>
    <w:rsid w:val="00AC7368"/>
    <w:rsid w:val="00AD119E"/>
    <w:rsid w:val="00AD16B9"/>
    <w:rsid w:val="00AD342A"/>
    <w:rsid w:val="00AE377D"/>
    <w:rsid w:val="00AF0EBA"/>
    <w:rsid w:val="00B000C3"/>
    <w:rsid w:val="00B02C8A"/>
    <w:rsid w:val="00B05CBB"/>
    <w:rsid w:val="00B17FBD"/>
    <w:rsid w:val="00B2669A"/>
    <w:rsid w:val="00B315A6"/>
    <w:rsid w:val="00B31813"/>
    <w:rsid w:val="00B31FDB"/>
    <w:rsid w:val="00B32ADA"/>
    <w:rsid w:val="00B33365"/>
    <w:rsid w:val="00B354A0"/>
    <w:rsid w:val="00B43781"/>
    <w:rsid w:val="00B57B36"/>
    <w:rsid w:val="00B57E6F"/>
    <w:rsid w:val="00B8686D"/>
    <w:rsid w:val="00B93F69"/>
    <w:rsid w:val="00BB1013"/>
    <w:rsid w:val="00BB1DDC"/>
    <w:rsid w:val="00BB429D"/>
    <w:rsid w:val="00BB7E16"/>
    <w:rsid w:val="00BC30C9"/>
    <w:rsid w:val="00BD077D"/>
    <w:rsid w:val="00BD4E78"/>
    <w:rsid w:val="00BE3E58"/>
    <w:rsid w:val="00BE4B8D"/>
    <w:rsid w:val="00BF5A85"/>
    <w:rsid w:val="00C01616"/>
    <w:rsid w:val="00C0162B"/>
    <w:rsid w:val="00C068ED"/>
    <w:rsid w:val="00C12E07"/>
    <w:rsid w:val="00C13B72"/>
    <w:rsid w:val="00C14600"/>
    <w:rsid w:val="00C22E0C"/>
    <w:rsid w:val="00C31FD0"/>
    <w:rsid w:val="00C33C71"/>
    <w:rsid w:val="00C345B1"/>
    <w:rsid w:val="00C376DD"/>
    <w:rsid w:val="00C40142"/>
    <w:rsid w:val="00C42123"/>
    <w:rsid w:val="00C52C3C"/>
    <w:rsid w:val="00C53B27"/>
    <w:rsid w:val="00C57182"/>
    <w:rsid w:val="00C57863"/>
    <w:rsid w:val="00C640AF"/>
    <w:rsid w:val="00C655FD"/>
    <w:rsid w:val="00C73764"/>
    <w:rsid w:val="00C75407"/>
    <w:rsid w:val="00C85920"/>
    <w:rsid w:val="00C870A8"/>
    <w:rsid w:val="00C94434"/>
    <w:rsid w:val="00CA0D4A"/>
    <w:rsid w:val="00CA0D75"/>
    <w:rsid w:val="00CA1C95"/>
    <w:rsid w:val="00CA39A1"/>
    <w:rsid w:val="00CA5A9C"/>
    <w:rsid w:val="00CC4C20"/>
    <w:rsid w:val="00CC5D49"/>
    <w:rsid w:val="00CD1BE7"/>
    <w:rsid w:val="00CD2D87"/>
    <w:rsid w:val="00CD3517"/>
    <w:rsid w:val="00CD3EF3"/>
    <w:rsid w:val="00CD5FE2"/>
    <w:rsid w:val="00CE79D0"/>
    <w:rsid w:val="00CE7C68"/>
    <w:rsid w:val="00D02B4C"/>
    <w:rsid w:val="00D040C4"/>
    <w:rsid w:val="00D20AD1"/>
    <w:rsid w:val="00D21EC5"/>
    <w:rsid w:val="00D22E8F"/>
    <w:rsid w:val="00D4594D"/>
    <w:rsid w:val="00D466EB"/>
    <w:rsid w:val="00D46B7E"/>
    <w:rsid w:val="00D560BB"/>
    <w:rsid w:val="00D57C84"/>
    <w:rsid w:val="00D6057D"/>
    <w:rsid w:val="00D648EC"/>
    <w:rsid w:val="00D70D6B"/>
    <w:rsid w:val="00D71640"/>
    <w:rsid w:val="00D753FA"/>
    <w:rsid w:val="00D82D33"/>
    <w:rsid w:val="00D836C5"/>
    <w:rsid w:val="00D84576"/>
    <w:rsid w:val="00D84F73"/>
    <w:rsid w:val="00D971F3"/>
    <w:rsid w:val="00DA1399"/>
    <w:rsid w:val="00DA24C6"/>
    <w:rsid w:val="00DA4D7B"/>
    <w:rsid w:val="00DB23B2"/>
    <w:rsid w:val="00DB4A10"/>
    <w:rsid w:val="00DC3042"/>
    <w:rsid w:val="00DD271C"/>
    <w:rsid w:val="00DE0345"/>
    <w:rsid w:val="00DE264A"/>
    <w:rsid w:val="00DF19D8"/>
    <w:rsid w:val="00DF5072"/>
    <w:rsid w:val="00E02D18"/>
    <w:rsid w:val="00E03D3F"/>
    <w:rsid w:val="00E041E7"/>
    <w:rsid w:val="00E06729"/>
    <w:rsid w:val="00E14D2F"/>
    <w:rsid w:val="00E16DEE"/>
    <w:rsid w:val="00E227AF"/>
    <w:rsid w:val="00E23CA1"/>
    <w:rsid w:val="00E25D61"/>
    <w:rsid w:val="00E33DD7"/>
    <w:rsid w:val="00E409A8"/>
    <w:rsid w:val="00E50C12"/>
    <w:rsid w:val="00E55CFA"/>
    <w:rsid w:val="00E65B91"/>
    <w:rsid w:val="00E7209D"/>
    <w:rsid w:val="00E72EAD"/>
    <w:rsid w:val="00E77223"/>
    <w:rsid w:val="00E8087A"/>
    <w:rsid w:val="00E8528B"/>
    <w:rsid w:val="00E85B94"/>
    <w:rsid w:val="00E95631"/>
    <w:rsid w:val="00E978D0"/>
    <w:rsid w:val="00EA4613"/>
    <w:rsid w:val="00EA7F91"/>
    <w:rsid w:val="00EB1523"/>
    <w:rsid w:val="00EB1AF3"/>
    <w:rsid w:val="00EC0E49"/>
    <w:rsid w:val="00EC101F"/>
    <w:rsid w:val="00EC1D9F"/>
    <w:rsid w:val="00EE0131"/>
    <w:rsid w:val="00EE17B0"/>
    <w:rsid w:val="00EF06D9"/>
    <w:rsid w:val="00EF5D48"/>
    <w:rsid w:val="00F050DB"/>
    <w:rsid w:val="00F05A0C"/>
    <w:rsid w:val="00F1575A"/>
    <w:rsid w:val="00F3049E"/>
    <w:rsid w:val="00F30C64"/>
    <w:rsid w:val="00F32BA2"/>
    <w:rsid w:val="00F32CDB"/>
    <w:rsid w:val="00F436CF"/>
    <w:rsid w:val="00F43CE6"/>
    <w:rsid w:val="00F43E72"/>
    <w:rsid w:val="00F52E4E"/>
    <w:rsid w:val="00F565FE"/>
    <w:rsid w:val="00F61FAC"/>
    <w:rsid w:val="00F63A70"/>
    <w:rsid w:val="00F63D8C"/>
    <w:rsid w:val="00F7534E"/>
    <w:rsid w:val="00F80393"/>
    <w:rsid w:val="00F92662"/>
    <w:rsid w:val="00F93EDF"/>
    <w:rsid w:val="00FA1802"/>
    <w:rsid w:val="00FA21D0"/>
    <w:rsid w:val="00FA2D74"/>
    <w:rsid w:val="00FA388F"/>
    <w:rsid w:val="00FA5F5F"/>
    <w:rsid w:val="00FB730C"/>
    <w:rsid w:val="00FC2695"/>
    <w:rsid w:val="00FC3E03"/>
    <w:rsid w:val="00FC3FC1"/>
    <w:rsid w:val="00FC533C"/>
    <w:rsid w:val="00FD15E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77CB9"/>
    <w:pPr>
      <w:keepNext/>
      <w:suppressAutoHyphens/>
      <w:spacing w:before="120" w:after="120" w:line="240" w:lineRule="auto"/>
      <w:jc w:val="both"/>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77CB9"/>
    <w:rPr>
      <w:rFonts w:ascii="Arial" w:eastAsia="Times New Roman" w:hAnsi="Arial" w:cs="Times New Roman"/>
      <w:b/>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Mencinsinresolver1">
    <w:name w:val="Mención sin resolver1"/>
    <w:basedOn w:val="Fuentedeprrafopredeter"/>
    <w:uiPriority w:val="99"/>
    <w:semiHidden/>
    <w:unhideWhenUsed/>
    <w:rsid w:val="00613E65"/>
    <w:rPr>
      <w:color w:val="605E5C"/>
      <w:shd w:val="clear" w:color="auto" w:fill="E1DFDD"/>
    </w:rPr>
  </w:style>
  <w:style w:type="character" w:styleId="Textodelmarcadordeposicin">
    <w:name w:val="Placeholder Text"/>
    <w:basedOn w:val="Fuentedeprrafopredeter"/>
    <w:uiPriority w:val="99"/>
    <w:semiHidden/>
    <w:rsid w:val="00755DC9"/>
    <w:rPr>
      <w:color w:val="808080"/>
    </w:rPr>
  </w:style>
  <w:style w:type="character" w:customStyle="1" w:styleId="cf01">
    <w:name w:val="cf01"/>
    <w:basedOn w:val="Fuentedeprrafopredeter"/>
    <w:rsid w:val="008923AB"/>
    <w:rPr>
      <w:rFonts w:ascii="Segoe UI" w:hAnsi="Segoe UI" w:cs="Segoe UI" w:hint="default"/>
      <w:sz w:val="18"/>
      <w:szCs w:val="18"/>
    </w:rPr>
  </w:style>
  <w:style w:type="character" w:styleId="Mencinsinresolver">
    <w:name w:val="Unresolved Mention"/>
    <w:basedOn w:val="Fuentedeprrafopredeter"/>
    <w:uiPriority w:val="99"/>
    <w:semiHidden/>
    <w:unhideWhenUsed/>
    <w:rsid w:val="00395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3631">
      <w:bodyDiv w:val="1"/>
      <w:marLeft w:val="0"/>
      <w:marRight w:val="0"/>
      <w:marTop w:val="0"/>
      <w:marBottom w:val="0"/>
      <w:divBdr>
        <w:top w:val="none" w:sz="0" w:space="0" w:color="auto"/>
        <w:left w:val="none" w:sz="0" w:space="0" w:color="auto"/>
        <w:bottom w:val="none" w:sz="0" w:space="0" w:color="auto"/>
        <w:right w:val="none" w:sz="0" w:space="0" w:color="auto"/>
      </w:divBdr>
    </w:div>
    <w:div w:id="316883557">
      <w:bodyDiv w:val="1"/>
      <w:marLeft w:val="0"/>
      <w:marRight w:val="0"/>
      <w:marTop w:val="0"/>
      <w:marBottom w:val="0"/>
      <w:divBdr>
        <w:top w:val="none" w:sz="0" w:space="0" w:color="auto"/>
        <w:left w:val="none" w:sz="0" w:space="0" w:color="auto"/>
        <w:bottom w:val="none" w:sz="0" w:space="0" w:color="auto"/>
        <w:right w:val="none" w:sz="0" w:space="0" w:color="auto"/>
      </w:divBdr>
    </w:div>
    <w:div w:id="488061586">
      <w:bodyDiv w:val="1"/>
      <w:marLeft w:val="0"/>
      <w:marRight w:val="0"/>
      <w:marTop w:val="0"/>
      <w:marBottom w:val="0"/>
      <w:divBdr>
        <w:top w:val="none" w:sz="0" w:space="0" w:color="auto"/>
        <w:left w:val="none" w:sz="0" w:space="0" w:color="auto"/>
        <w:bottom w:val="none" w:sz="0" w:space="0" w:color="auto"/>
        <w:right w:val="none" w:sz="0" w:space="0" w:color="auto"/>
      </w:divBdr>
    </w:div>
    <w:div w:id="54232807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456443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Jor17</b:Tag>
    <b:SourceType>DocumentFromInternetSite</b:SourceType>
    <b:Guid>{8040C447-22C0-4242-AB44-2E208AD57F95}</b:Guid>
    <b:Title>Maskana - Ingeniería Eléctrica y Electrónica</b:Title>
    <b:Year>2017</b:Year>
    <b:Author>
      <b:Author>
        <b:NameList>
          <b:Person>
            <b:Last>Jorge L. Ordóñez</b:Last>
            <b:First>Nuno</b:First>
            <b:Middle>J. Gil, Juan L. Espinoza</b:Middle>
          </b:Person>
        </b:NameList>
      </b:Author>
    </b:Author>
    <b:InternetSiteTitle>Análisis de viabilidad técnico-económica de sistemas fotovoltaicos a</b:InternetSiteTitle>
    <b:Month>07</b:Month>
    <b:Day>29</b:Day>
    <b:URL>https://publicaciones.ucuenca.edu.ec/ojs/index.php/maskana/article/download/1991/1430/5660</b:URL>
    <b:RefOrder>15</b:RefOrder>
  </b:Source>
  <b:Source>
    <b:Tag>Dei11</b:Tag>
    <b:SourceType>DocumentFromInternetSite</b:SourceType>
    <b:Guid>{C4D997D6-4427-4744-8764-8DB57D251756}</b:Guid>
    <b:Author>
      <b:Author>
        <b:NameList>
          <b:Person>
            <b:Last>Alonso</b:Last>
            <b:First>Deivis</b:First>
            <b:Middle>Avila Prats Ramón Alesanco García J. I. Véliz</b:Middle>
          </b:Person>
        </b:NameList>
      </b:Author>
    </b:Author>
    <b:Title>Ingeniería Mecánica</b:Title>
    <b:Year>2011</b:Year>
    <b:URL>https://portalciencia.ull.es/documentos/5ea21c092999521f7d522937</b:URL>
    <b:RefOrder>33</b:RefOrder>
  </b:Source>
  <b:Source>
    <b:Tag>Jai14</b:Tag>
    <b:SourceType>DocumentFromInternetSite</b:SourceType>
    <b:Guid>{6998679D-30A7-40AC-94C4-AC1AC282EE9E}</b:Guid>
    <b:Author>
      <b:Author>
        <b:NameList>
          <b:Person>
            <b:Last>Casallas</b:Last>
            <b:First>Jaime</b:First>
          </b:Person>
        </b:NameList>
      </b:Author>
    </b:Author>
    <b:Title>Uso racional y eficiente de la energia en edificios públicos en Colombia</b:Title>
    <b:Year>2014</b:Year>
    <b:URL>doi:10.14483/23448350.6497</b:URL>
    <b:RefOrder>2</b:RefOrder>
  </b:Source>
  <b:Source>
    <b:Tag>Are22</b:Tag>
    <b:SourceType>DocumentFromInternetSite</b:SourceType>
    <b:Guid>{40523911-5EE5-4807-9B0D-A200D676E4DC}</b:Guid>
    <b:Author>
      <b:Author>
        <b:NameList>
          <b:Person>
            <b:Last>Arellano</b:Last>
            <b:First>L.C,</b:First>
            <b:Middle>Rivas, L.A, Maria, B.P.</b:Middle>
          </b:Person>
        </b:NameList>
      </b:Author>
    </b:Author>
    <b:Title>Revista politécnica</b:Title>
    <b:Year>2022</b:Year>
    <b:URL>http://scielo.senescyt.gob.ec/pdf/rpolit/v45n2/2477-8990-rpolit-45-02-31.pdf</b:URL>
    <b:RefOrder>3</b:RefOrder>
  </b:Source>
  <b:Source>
    <b:Tag>Cas01</b:Tag>
    <b:SourceType>DocumentFromInternetSite</b:SourceType>
    <b:Guid>{60B94DBC-A71F-40CB-AF60-D68746B3278E}</b:Guid>
    <b:Author>
      <b:Author>
        <b:NameList>
          <b:Person>
            <b:Last>Castellanos</b:Last>
            <b:First>C.F.</b:First>
          </b:Person>
        </b:NameList>
      </b:Author>
    </b:Author>
    <b:Title>Energias renovables y reducción de gases invernadero en el marco del protocolo de Kioto.</b:Title>
    <b:Year>2001</b:Year>
    <b:URL>https://www.osti.gov/etdeweb/biblio/20268434</b:URL>
    <b:RefOrder>4</b:RefOrder>
  </b:Source>
  <b:Source>
    <b:Tag>Far20</b:Tag>
    <b:SourceType>DocumentFromInternetSite</b:SourceType>
    <b:Guid>{7622EAA7-9EFF-4B6B-8E0A-DCD701183F15}</b:Guid>
    <b:Author>
      <b:Author>
        <b:NameList>
          <b:Person>
            <b:Last>Budes</b:Last>
            <b:First>Farid</b:First>
            <b:Middle>Antonio Barrozo</b:Middle>
          </b:Person>
        </b:NameList>
      </b:Author>
    </b:Author>
    <b:Year>2020</b:Year>
    <b:URL>https://www.mdpi.com/1996-1073/13/7/1662/pdf</b:URL>
    <b:RefOrder>5</b:RefOrder>
  </b:Source>
  <b:Source>
    <b:Tag>Egl20</b:Tag>
    <b:SourceType>DocumentFromInternetSite</b:SourceType>
    <b:Guid>{492695B0-79B4-4532-AF1D-0D4810FBF125}</b:Guid>
    <b:Author>
      <b:Author>
        <b:NameList>
          <b:Person>
            <b:Last>Egler</b:Last>
            <b:First>C.</b:First>
          </b:Person>
        </b:NameList>
      </b:Author>
    </b:Author>
    <b:Title>Crisis y transición energética en America del Sur.</b:Title>
    <b:InternetSiteTitle>Universidad Federal de Río de Janeiro.</b:InternetSiteTitle>
    <b:Year>2020</b:Year>
    <b:URL>https://hal.archives-ouvertes.fr/hal-03114080</b:URL>
    <b:RefOrder>34</b:RefOrder>
  </b:Source>
  <b:Source>
    <b:Tag>Adr21</b:Tag>
    <b:SourceType>DocumentFromInternetSite</b:SourceType>
    <b:Guid>{8C4AE46A-D11C-4AAC-B2A8-5E6F6216859F}</b:Guid>
    <b:Author>
      <b:Author>
        <b:NameList>
          <b:Person>
            <b:Last>Adrián Dios Vicente</b:Last>
            <b:First>R.R.</b:First>
          </b:Person>
        </b:NameList>
      </b:Author>
    </b:Author>
    <b:Title>Análisis de los flujos materiales de china en el contexto de las reformas económicas capitalistas.</b:Title>
    <b:InternetSiteTitle>Libro de actas XVII Jornadas de Economía Crítica</b:InternetSiteTitle>
    <b:Year>2021</b:Year>
    <b:URL>https://www.researchgate.net/profile/Pablo-Alonso-Fernandez/publication/353637890_Analisis_de_los_flujos_materiales_de_China_en_el_contexto_de_las_reformas_economicas_capitalistas/links/614aebf0519a1a381f76271f/Analisis-de-los-flujos-materiales-de-China-e</b:URL>
    <b:RefOrder>35</b:RefOrder>
  </b:Source>
  <b:Source>
    <b:Tag>Jul13</b:Tag>
    <b:SourceType>DocumentFromInternetSite</b:SourceType>
    <b:Guid>{97FF95A4-2B92-474B-8ED8-26C25120A325}</b:Guid>
    <b:Author>
      <b:Author>
        <b:NameList>
          <b:Person>
            <b:Last>Julio Cesar Torres Escobar</b:Last>
            <b:First>S.M.</b:First>
          </b:Person>
        </b:NameList>
      </b:Author>
    </b:Author>
    <b:Title>Estudio de factibilidad de la aplicación de sistemas eólicos, solar e híbridos en el sentro experimental casa Asdoas.</b:Title>
    <b:InternetSiteTitle>Universidad Piloto de Colombia</b:InternetSiteTitle>
    <b:Year>2013</b:Year>
    <b:URL>http://repository.unipiloto.edu.co/handle/20.500.12277/775</b:URL>
    <b:RefOrder>36</b:RefOrder>
  </b:Source>
  <b:Source>
    <b:Tag>Gom19</b:Tag>
    <b:SourceType>DocumentFromInternetSite</b:SourceType>
    <b:Guid>{869F2020-D497-48D1-A39F-B11C53B59B5F}</b:Guid>
    <b:Author>
      <b:Author>
        <b:NameList>
          <b:Person>
            <b:Last>Gomez</b:Last>
          </b:Person>
        </b:NameList>
      </b:Author>
    </b:Author>
    <b:Title>Estudio de factibilidad y almacenamiento de carga y descarga de baterías para una Microred.</b:Title>
    <b:InternetSiteTitle>Universidad Politécnica Salesiana</b:InternetSiteTitle>
    <b:Year>2019</b:Year>
    <b:URL>https://dspace.ups.edu.ec/handle/123456789/17014</b:URL>
    <b:RefOrder>37</b:RefOrder>
  </b:Source>
  <b:Source>
    <b:Tag>Gus97</b:Tag>
    <b:SourceType>DocumentFromInternetSite</b:SourceType>
    <b:Guid>{513C264D-6CE7-4033-838D-308B31F4EFAB}</b:Guid>
    <b:Author>
      <b:Author>
        <b:NameList>
          <b:Person>
            <b:Last>Juan</b:Last>
            <b:First>Gustavo</b:First>
            <b:Middle>Alberto San</b:Middle>
          </b:Person>
        </b:NameList>
      </b:Author>
    </b:Author>
    <b:Title>Estrategias bioclimáticas en viviendas de interes social.</b:Title>
    <b:Year>1997</b:Year>
    <b:URL>http://sedici.unlp.edu.ar/handle/10915/88849</b:URL>
    <b:RefOrder>38</b:RefOrder>
  </b:Source>
  <b:Source>
    <b:Tag>Muñ22</b:Tag>
    <b:SourceType>DocumentFromInternetSite</b:SourceType>
    <b:Guid>{56FE1513-2824-495D-8B64-C3ABBE1E0484}</b:Guid>
    <b:Author>
      <b:Author>
        <b:NameList>
          <b:Person>
            <b:Last>S.</b:Last>
            <b:First>Muñoz</b:First>
          </b:Person>
        </b:NameList>
      </b:Author>
    </b:Author>
    <b:Title>Editorial la República</b:Title>
    <b:Year>2022</b:Year>
    <b:Month>01</b:Month>
    <b:Day>03</b:Day>
    <b:URL>https://www.larepublica.co/analisis/simon-gaviria-munoz-401830/descarbonizar-colombia-3313140</b:URL>
    <b:RefOrder>39</b:RefOrder>
  </b:Source>
  <b:Source>
    <b:Tag>Ren20</b:Tag>
    <b:SourceType>DocumentFromInternetSite</b:SourceType>
    <b:Guid>{6C69395B-33CD-4D4B-9D53-EF03CF4F790F}</b:Guid>
    <b:Author>
      <b:Author>
        <b:NameList>
          <b:Person>
            <b:Last>Rendón</b:Last>
          </b:Person>
        </b:NameList>
      </b:Author>
    </b:Author>
    <b:Title>Analisis de los incentivos económicos en la capacidad instalada de energía solar fotovoltaica en Colombia</b:Title>
    <b:Year>2020</b:Year>
    <b:URL>https://doi.org/10.17533/udea.le.n93a338727</b:URL>
    <b:RefOrder>40</b:RefOrder>
  </b:Source>
  <b:Source>
    <b:Tag>Asu21</b:Tag>
    <b:SourceType>DocumentFromInternetSite</b:SourceType>
    <b:Guid>{D259CFB6-245F-4692-AE8D-BD44F2B4960E}</b:Guid>
    <b:Author>
      <b:Author>
        <b:NameList>
          <b:Person>
            <b:Last>Vital</b:Last>
            <b:First>Asunción</b:First>
            <b:Middle>Lucía Rodríguez</b:Middle>
          </b:Person>
        </b:NameList>
      </b:Author>
    </b:Author>
    <b:Title>Avances y desafíos de Colombia para el alcance del ODS-7 de la agenda 2030 de las naciones unidas</b:Title>
    <b:Year>2021</b:Year>
    <b:URL>doi:2343-6131</b:URL>
    <b:RefOrder>41</b:RefOrder>
  </b:Source>
  <b:Source>
    <b:Tag>Est19</b:Tag>
    <b:SourceType>DocumentFromInternetSite</b:SourceType>
    <b:Guid>{0FA49568-83EF-456F-8654-8355221F4BA9}</b:Guid>
    <b:Author>
      <b:Author>
        <b:NameList>
          <b:Person>
            <b:Last>Estela</b:Last>
          </b:Person>
        </b:NameList>
      </b:Author>
    </b:Author>
    <b:Title>Repositorio de la Universidad César Vallejo</b:Title>
    <b:Year>2019</b:Year>
    <b:URL>https://repositorio.ucv.edu.pe/bitstream/handle/20.500.12692/86771/Benavides_MYE-SD.pdf?sequence=1&amp;isAllowed=y</b:URL>
    <b:RefOrder>42</b:RefOrder>
  </b:Source>
  <b:Source>
    <b:Tag>Min15</b:Tag>
    <b:SourceType>DocumentFromInternetSite</b:SourceType>
    <b:Guid>{A4A5327F-0774-4DC8-8445-D1ECA8FFC4F5}</b:Guid>
    <b:Author>
      <b:Author>
        <b:Corporate>Ministerio del Medio Ambiente de Chile</b:Corporate>
      </b:Author>
    </b:Author>
    <b:Year>2015</b:Year>
    <b:URL>https://mma.gob.cl/cambio-climatico/cc-02-7-huella-de-carbono/</b:URL>
    <b:RefOrder>43</b:RefOrder>
  </b:Source>
  <b:Source>
    <b:Tag>Twe22</b:Tag>
    <b:SourceType>DocumentFromInternetSite</b:SourceType>
    <b:Guid>{2E1094EA-179A-43BB-A52D-72CB5016047B}</b:Guid>
    <b:Author>
      <b:Author>
        <b:Corporate>Twenergy</b:Corporate>
      </b:Author>
    </b:Author>
    <b:Title>La demanda eléctrica</b:Title>
    <b:Year>2022</b:Year>
    <b:Month>12</b:Month>
    <b:Day>02</b:Day>
    <b:URL> https://twenergy.com/eficiencia-energetica/como-ahorrar-energia-casa/la-demanda-electrica-953/</b:URL>
    <b:RefOrder>44</b:RefOrder>
  </b:Source>
  <b:Source>
    <b:Tag>Cap</b:Tag>
    <b:SourceType>DocumentFromInternetSite</b:SourceType>
    <b:Guid>{5B1E7CB0-4CE5-4667-A8F2-F97F654BE77E}</b:Guid>
    <b:Author>
      <b:Author>
        <b:Corporate>Capterra</b:Corporate>
      </b:Author>
    </b:Author>
    <b:Title>Homer-pro</b:Title>
    <b:URL>https://www.capterra.co/software/182590/homer-pro</b:URL>
    <b:RefOrder>14</b:RefOrder>
  </b:Source>
  <b:Source>
    <b:Tag>Vic19</b:Tag>
    <b:SourceType>DocumentFromInternetSite</b:SourceType>
    <b:Guid>{7DC2D40E-F05D-4460-B696-406836237676}</b:Guid>
    <b:Author>
      <b:Author>
        <b:NameList>
          <b:Person>
            <b:Last>Palau</b:Last>
            <b:First>Victor</b:First>
            <b:Middle>Pelis</b:Middle>
          </b:Person>
        </b:NameList>
      </b:Author>
    </b:Author>
    <b:Title>Estudio comparativo de la viabilidad de instalaciones híbridas renovables en edificios municipales de Betxi</b:Title>
    <b:Year>2019</b:Year>
    <b:URL>https://riunet.upv.es/bitstream/handle/10251/138537/48596980G_TFM_15810660790477935048532849124981.pdf?sequence=1</b:URL>
    <b:RefOrder>45</b:RefOrder>
  </b:Source>
  <b:Source>
    <b:Tag>Mar11</b:Tag>
    <b:SourceType>DocumentFromInternetSite</b:SourceType>
    <b:Guid>{ACB4843B-CD22-4328-8785-5A1BA7746539}</b:Guid>
    <b:Title>LA HUELLA DE CARBONO Y SU UTILIZACIÓN EN LAS INSTITUCIONES UNIVERSITARIAS</b:Title>
    <b:Year>2011</b:Year>
    <b:URL>http://dspace.aeipro.com/xmlui/bitstream/handle/123456789/1518/CIIP11_1950_1959.pdf?sequence=1</b:URL>
    <b:Author>
      <b:Author>
        <b:NameList>
          <b:Person>
            <b:Last>María Victoria Mondéjar Navarro</b:Last>
            <b:First>Rosario</b:First>
            <b:Middle>Viñoles Cebolla, José Bastante Ceca,Daniel Collado Ruiz, Salvador Capuz Rizo</b:Middle>
          </b:Person>
        </b:NameList>
      </b:Author>
    </b:Author>
    <b:RefOrder>46</b:RefOrder>
  </b:Source>
  <b:Source>
    <b:Tag>MarcadorDePosición1</b:Tag>
    <b:SourceType>DocumentFromInternetSite</b:SourceType>
    <b:Guid>{E02C912B-71A3-4A8E-8A43-504E1E458461}</b:Guid>
    <b:Title>Miteco</b:Title>
    <b:InternetSiteTitle>Miteco</b:InternetSiteTitle>
    <b:Year>2013</b:Year>
    <b:URL>https://www.miteco.gob.es/es/cambio-climatico/temas/mitigacion-politicas-y-medidas/guia_huella_carbono_tcm30-479093.pdf</b:URL>
    <b:Author>
      <b:Author>
        <b:Corporate>Ministerio para la Transición Ecológica De España</b:Corporate>
      </b:Author>
      <b:Editor>
        <b:NameList>
          <b:Person>
            <b:Last>ECOLÓGICA</b:Last>
            <b:First>MINISTERIO</b:First>
            <b:Middle>PARA LA TRANSICIÓN</b:Middle>
          </b:Person>
        </b:NameList>
      </b:Editor>
    </b:Author>
    <b:YearAccessed>2022</b:YearAccessed>
    <b:MonthAccessed>12</b:MonthAccessed>
    <b:DayAccessed>10</b:DayAccessed>
    <b:ShortTitle>GUÍA PARA EL CÁLCULO DE LA HUELLA DE CARBONO Y PARA LA ELABORACIÓN DE UN PLAN DE MEJORA DE UNA ORGANIZACIÓN</b:ShortTitle>
    <b:RefOrder>19</b:RefOrder>
  </b:Source>
  <b:Source>
    <b:Tag>Lil07</b:Tag>
    <b:SourceType>JournalArticle</b:SourceType>
    <b:Guid>{2DF74F70-D75C-4D5D-9F3B-F4E9F4F1F75F}</b:Guid>
    <b:Author>
      <b:Author>
        <b:NameList>
          <b:Person>
            <b:Last>Rodríguez</b:Last>
            <b:First>Liliana</b:First>
          </b:Person>
        </b:NameList>
      </b:Author>
      <b:Editor>
        <b:NameList>
          <b:Person>
            <b:Last>Arango</b:Last>
            <b:First>Natalia</b:First>
            <b:Middle>Echeverry</b:Middle>
          </b:Person>
        </b:NameList>
      </b:Editor>
    </b:Author>
    <b:Title>Investigación y revisión Gestión y Ambiente</b:Title>
    <b:JournalName>Revistas Unal</b:JournalName>
    <b:Year>2007</b:Year>
    <b:Pages>12</b:Pages>
    <b:Month>08</b:Month>
    <b:Day>20</b:Day>
    <b:Publisher>Gestión y Ambiente </b:Publisher>
    <b:Volume>10</b:Volume>
    <b:ShortTitle>Protocolode Kyoto:Debate sobre ambiente y desarrollo en las discusiones sobre Cambio Climático</b:ShortTitle>
    <b:YearAccessed>2022</b:YearAccessed>
    <b:MonthAccessed>12</b:MonthAccessed>
    <b:DayAccessed>9</b:DayAccessed>
    <b:URL>https://revistas.unal.edu.co/index.php/gestion/article/view/1417/2037</b:URL>
    <b:RefOrder>20</b:RefOrder>
  </b:Source>
  <b:Source>
    <b:Tag>MarcadorDePosición2</b:Tag>
    <b:SourceType>InternetSite</b:SourceType>
    <b:Guid>{D0DD511E-9836-4D6B-B3F9-B2427CEF200B}</b:Guid>
    <b:Title>Instituto de Hidrología, Meteorología y Estudios Ambientales - IDEAM</b:Title>
    <b:Year>2007</b:Year>
    <b:Author>
      <b:Author>
        <b:NameList>
          <b:Person>
            <b:Last>Ballesteros</b:Last>
            <b:First>Henry</b:First>
            <b:Middle>Oswaldo &amp; Benavides</b:Middle>
          </b:Person>
        </b:NameList>
      </b:Author>
    </b:Author>
    <b:InternetSiteTitle>Instituto de Hidrología, Meteorología y Estudios Ambientales - IDEAM</b:InternetSiteTitle>
    <b:Month>12</b:Month>
    <b:URL>https://d1wqtxts1xzle7.cloudfront.net/50544101/Gases_de_Efecto_Invernadero_y_el_Cambio_Climatico-libre.pdf?1480106247=&amp;response-content-disposition=inline%3B+filename%3DINFORMACION_TECNICA_SOBRE_GASES_DE_EFECT.pdf&amp;Expires=1671907726&amp;Signature=MLDSCNhSRmWI</b:URL>
    <b:YearAccessed>2022</b:YearAccessed>
    <b:MonthAccessed>12</b:MonthAccessed>
    <b:DayAccessed>9</b:DayAccessed>
    <b:ShortTitle>INFORMACIÓN TECNICA SOBRE GASES DE EFECTO INVERNADERO Y EL CAMBIO CLIMÁTICO</b:ShortTitle>
    <b:RefOrder>21</b:RefOrder>
  </b:Source>
  <b:Source>
    <b:Tag>UPM17</b:Tag>
    <b:SourceType>DocumentFromInternetSite</b:SourceType>
    <b:Guid>{C2758AD7-225A-428C-BF0F-6DF5CA23F703}</b:Guid>
    <b:Author>
      <b:Author>
        <b:Corporate>UPME</b:Corporate>
      </b:Author>
    </b:Author>
    <b:Title>FACTORES DE EMISION DEL SISTEMA INTERCONECTADO NACIONAL COLOMBIA-SIN</b:Title>
    <b:InternetSiteTitle>FACTORES DE EMISION DEL SISTEMA INTERCONECTADO NACIONAL COLOMBIA-SIN</b:InternetSiteTitle>
    <b:Year>2017</b:Year>
    <b:Month>08</b:Month>
    <b:Day>20</b:Day>
    <b:URL>https://www.1.upme.gov.co</b:URL>
    <b:YearAccessed>30</b:YearAccessed>
    <b:MonthAccessed>01</b:MonthAccessed>
    <b:DayAccessed>2023</b:DayAccessed>
    <b:RefOrder>47</b:RefOrder>
  </b:Source>
  <b:Source>
    <b:Tag>Rom16</b:Tag>
    <b:SourceType>DocumentFromInternetSite</b:SourceType>
    <b:Guid>{BFC2ADFC-52F8-4E4A-AABD-5DAE63F1F321}</b:Guid>
    <b:Author>
      <b:Author>
        <b:NameList>
          <b:Person>
            <b:Last>Romero</b:Last>
            <b:First>M.</b:First>
          </b:Person>
        </b:NameList>
      </b:Author>
    </b:Author>
    <b:Title>Eficiencia energética y uso de fuentes renovables.</b:Title>
    <b:InternetSiteTitle>Eficiencia energética y uso de fuentes renovables.</b:InternetSiteTitle>
    <b:Year>2016</b:Year>
    <b:Month>01</b:Month>
    <b:Day>03</b:Day>
    <b:URL>http://www.minambiente.gov.co/images/Resolucion/Resolucion0549/Documento%20acompa%C3%B1amiento.pdf</b:URL>
    <b:YearAccessed>2023</b:YearAccessed>
    <b:MonthAccessed>01</b:MonthAccessed>
    <b:DayAccessed>20</b:DayAccessed>
    <b:RefOrder>48</b:RefOrder>
  </b:Source>
  <b:Source>
    <b:Tag>Veg17</b:Tag>
    <b:SourceType>DocumentFromInternetSite</b:SourceType>
    <b:Guid>{E44AA28E-0A3D-4FFC-8E05-4EC58CA1BF9C}</b:Guid>
    <b:Author>
      <b:Author>
        <b:NameList>
          <b:Person>
            <b:Last>Vega</b:Last>
            <b:First>I.</b:First>
          </b:Person>
        </b:NameList>
      </b:Author>
    </b:Author>
    <b:Title>Resolución 0549 de 2015 eficiencia energética y uso de fuentes renovables.</b:Title>
    <b:InternetSiteTitle>Resolución 0549 de 2015 eficiencia energética y uso de fuentes renovables.</b:InternetSiteTitle>
    <b:Year>2017</b:Year>
    <b:Month>05</b:Month>
    <b:Day>20</b:Day>
    <b:URL>https://www.elspectador.com/economia/sector-energetico/articulo-738670</b:URL>
    <b:YearAccessed>2022</b:YearAccessed>
    <b:MonthAccessed>12</b:MonthAccessed>
    <b:DayAccessed>29</b:DayAccessed>
    <b:RefOrder>16</b:RefOrder>
  </b:Source>
  <b:Source>
    <b:Tag>Uru18</b:Tag>
    <b:SourceType>DocumentFromInternetSite</b:SourceType>
    <b:Guid>{80CB706B-D97B-4498-BD6B-72858746949C}</b:Guid>
    <b:Author>
      <b:Author>
        <b:NameList>
          <b:Person>
            <b:Last>Uruguez</b:Last>
            <b:First>P.</b:First>
          </b:Person>
        </b:NameList>
      </b:Author>
    </b:Author>
    <b:Title>Resolución 0549 de 2015 y su importancia ambiental.</b:Title>
    <b:InternetSiteTitle>Resolución 0549 de 2015 y su importancia ambiental.</b:InternetSiteTitle>
    <b:Year>2018</b:Year>
    <b:Month>05</b:Month>
    <b:Day>17</b:Day>
    <b:URL>https://www.elnacional.com/medio-ambiente/resolucion-0549-de-2015-y-su-importancia-ambiental/</b:URL>
    <b:YearAccessed>2022</b:YearAccessed>
    <b:MonthAccessed>12</b:MonthAccessed>
    <b:DayAccessed>23</b:DayAccessed>
    <b:ShortTitle>Revista Nacional</b:ShortTitle>
    <b:RefOrder>17</b:RefOrder>
  </b:Source>
  <b:Source>
    <b:Tag>Sta12</b:Tag>
    <b:SourceType>DocumentFromInternetSite</b:SourceType>
    <b:Guid>{A0A58855-02D9-4181-B0F6-56727DC557F0}</b:Guid>
    <b:Author>
      <b:Author>
        <b:Corporate>Stanford University</b:Corporate>
      </b:Author>
    </b:Author>
    <b:Title>Plan de acción de Stanford para la reducción de la huella de carbono</b:Title>
    <b:InternetSiteTitle>Plan de acción de Stanford para la reducción de la huella de carbono</b:InternetSiteTitle>
    <b:Year>2012</b:Year>
    <b:Month>08</b:Month>
    <b:Day>24</b:Day>
    <b:URL>https://sustainable.stanford.edu/sites/default/files/resource-attachments/E_C_Plan_2015.pdf</b:URL>
    <b:YearAccessed>2022</b:YearAccessed>
    <b:MonthAccessed>12</b:MonthAccessed>
    <b:DayAccessed>30</b:DayAccessed>
    <b:RefOrder>49</b:RefOrder>
  </b:Source>
  <b:Source>
    <b:Tag>DTe18</b:Tag>
    <b:SourceType>DocumentFromInternetSite</b:SourceType>
    <b:Guid>{CB4DD075-80F0-43CB-851C-20153EF7B7A9}</b:Guid>
    <b:Author>
      <b:Author>
        <b:NameList>
          <b:Person>
            <b:Last>D. Tellez</b:Last>
            <b:First>G.</b:First>
            <b:Middle>Cañon, &amp; D. F Farias</b:Middle>
          </b:Person>
        </b:NameList>
      </b:Author>
    </b:Author>
    <b:Title>Strategy for the optimization of the energetic performance of buildings in the framework of GHG emissions reduction.</b:Title>
    <b:InternetSiteTitle>Strategy for the optimization of the energetic performance of buildings in the framework of GHG emissions reduction.</b:InternetSiteTitle>
    <b:Year>2018</b:Year>
    <b:Month>09</b:Month>
    <b:Day>23</b:Day>
    <b:URL>https://www.sciencedirect.com/science/article/pii/S0306261918309086</b:URL>
    <b:YearAccessed>2022</b:YearAccessed>
    <b:MonthAccessed>12</b:MonthAccessed>
    <b:DayAccessed>29</b:DayAccessed>
    <b:RefOrder>50</b:RefOrder>
  </b:Source>
  <b:Source>
    <b:Tag>ONU16</b:Tag>
    <b:SourceType>DocumentFromInternetSite</b:SourceType>
    <b:Guid>{C78727F7-8ADC-455F-BB55-8DC30EB51C40}</b:Guid>
    <b:Author>
      <b:Author>
        <b:Corporate>ONU</b:Corporate>
      </b:Author>
    </b:Author>
    <b:Title>Objetivo 7: Garantizar el acceso a una energía asequible, segura, sostenible y moderna</b:Title>
    <b:InternetSiteTitle>Objetivo 7: Garantizar el acceso a una energía asequible, segura, sostenible y moderna</b:InternetSiteTitle>
    <b:Year>2016</b:Year>
    <b:Month>08</b:Month>
    <b:Day>20</b:Day>
    <b:URL>https://www.un.org/sustainabledevelopment/es/energy/</b:URL>
    <b:YearAccessed>2023</b:YearAccessed>
    <b:MonthAccessed>01</b:MonthAccessed>
    <b:DayAccessed>05</b:DayAccessed>
    <b:RefOrder>18</b:RefOrder>
  </b:Source>
  <b:Source>
    <b:Tag>Ben07</b:Tag>
    <b:SourceType>DocumentFromInternetSite</b:SourceType>
    <b:Guid>{919A017B-B064-4E01-9A05-B86BDA3C5CA5}</b:Guid>
    <b:Author>
      <b:Author>
        <b:NameList>
          <b:Person>
            <b:Last>Ben Wisner</b:Last>
            <b:First>Maureen</b:First>
            <b:Middle>Fordham, Ilan Kelman, Barbara Rose Johnston, David Simon, Allan Lavell, Hans Günter Brauch,Ursula Oswald Spring, Gustavo Wilches-Chaux, Marcus Moench, and Daniel Weiner</b:Middle>
          </b:Person>
        </b:NameList>
      </b:Author>
    </b:Author>
    <b:Title>Cambio Climático y Seguridad Humana</b:Title>
    <b:InternetSiteTitle>Cambio Climático y Seguridad Humana</b:InternetSiteTitle>
    <b:Year>2007</b:Year>
    <b:Month>04</b:Month>
    <b:Day>15</b:Day>
    <b:URL>http://www.casede.org/BibliotecaCasede/CCySH.pdf</b:URL>
    <b:YearAccessed>2023</b:YearAccessed>
    <b:MonthAccessed>01</b:MonthAccessed>
    <b:DayAccessed>12</b:DayAccessed>
    <b:RefOrder>51</b:RefOrder>
  </b:Source>
  <b:Source>
    <b:Tag>Ger12</b:Tag>
    <b:SourceType>DocumentFromInternetSite</b:SourceType>
    <b:Guid>{CA0A2CFB-CCDC-44FE-A774-64B2C77202CB}</b:Guid>
    <b:Author>
      <b:Author>
        <b:NameList>
          <b:Person>
            <b:Last>Cordero</b:Last>
            <b:First>Gerarda</b:First>
            <b:Middle>Díaz</b:Middle>
          </b:Person>
        </b:NameList>
      </b:Author>
    </b:Author>
    <b:Title>Ciencia y Sociedad</b:Title>
    <b:InternetSiteTitle>Ciencia y Sociedad</b:InternetSiteTitle>
    <b:Year>2012</b:Year>
    <b:Month>04</b:Month>
    <b:Day>02</b:Day>
    <b:URL>https://www.redalyc.org/pdf/870/87024179004.pdf</b:URL>
    <b:YearAccessed>2023</b:YearAccessed>
    <b:MonthAccessed>01</b:MonthAccessed>
    <b:DayAccessed>13</b:DayAccessed>
    <b:ShortTitle>EL CAMBIO CLIMÁTICO</b:ShortTitle>
    <b:StandardNumber>2</b:StandardNumber>
    <b:RefOrder>52</b:RefOrder>
  </b:Source>
  <b:Source>
    <b:Tag>UPM20</b:Tag>
    <b:SourceType>DocumentFromInternetSite</b:SourceType>
    <b:Guid>{973A7EED-CC13-49C3-9189-87ED1C57F1CE}</b:Guid>
    <b:Author>
      <b:Author>
        <b:Corporate>UPME</b:Corporate>
      </b:Author>
    </b:Author>
    <b:Title>Demanda Y Eficiencia Energetica</b:Title>
    <b:InternetSiteTitle>Demanda Y Eficiencia Energetica</b:InternetSiteTitle>
    <b:Year>2020</b:Year>
    <b:URL>https://www1.upme.gov.co/DemandayEficiencia/Paginas/PROURE.aspx</b:URL>
    <b:RefOrder>22</b:RefOrder>
  </b:Source>
  <b:Source>
    <b:Tag>Ana22</b:Tag>
    <b:SourceType>DocumentFromInternetSite</b:SourceType>
    <b:Guid>{02B9D89E-FB2D-4213-941D-DAFF8DC31B72}</b:Guid>
    <b:Author>
      <b:Author>
        <b:NameList>
          <b:Person>
            <b:Last>Ana M Osorio</b:Last>
            <b:First>Luisa</b:First>
            <b:Middle>F. Úsuga, Rafael E. Vásquez, César Nieto-Londoño, María E. Rinaudo, José A. Martínez y Walter Leal Filho</b:Middle>
          </b:Person>
        </b:NameList>
      </b:Author>
    </b:Author>
    <b:Title>Hacia la Carbono Neutralidad en Instituciones de Educación Superior: Caso de Dos Universidades Privadas en Colombia</b:Title>
    <b:InternetSiteTitle>Hacia la Carbono Neutralidad en Instituciones de Educación Superior: Caso de Dos Universidades Privadas en Colombia</b:InternetSiteTitle>
    <b:Year>2022</b:Year>
    <b:Month>02</b:Month>
    <b:Day>04</b:Day>
    <b:URL>https://www.mdpi.com/2071-1050/14/3/1774#</b:URL>
    <b:RefOrder>53</b:RefOrder>
  </b:Source>
  <b:Source>
    <b:Tag>Abd22</b:Tag>
    <b:SourceType>DocumentFromInternetSite</b:SourceType>
    <b:Guid>{6DD880C0-AF05-469A-9047-00FD833DBA9F}</b:Guid>
    <b:Author>
      <b:Author>
        <b:NameList>
          <b:Person>
            <b:Last>Abdulrahman AlKassem</b:Last>
            <b:First>Azeddine</b:First>
            <b:Middle>Draou, Abdalá Alamri y Hisham Alharbí</b:Middle>
          </b:Person>
        </b:NameList>
      </b:Author>
    </b:Author>
    <b:Title>Análisis de Diseño de un Sistema Óptimo de Microrred para la Integración de Fuentes de Energía Renovables en un Campus Universitario</b:Title>
    <b:InternetSiteTitle>Análisis de Diseño de un Sistema Óptimo de Microrred para la Integración de Fuentes de Energía Renovables en un Campus Universitario</b:InternetSiteTitle>
    <b:Year>2022</b:Year>
    <b:Month>03</b:Month>
    <b:Day>31</b:Day>
    <b:URL>https://www.mdpi.com/2071-1050/14/7/4175</b:URL>
    <b:RefOrder>54</b:RefOrder>
  </b:Source>
  <b:Source>
    <b:Tag>Tri</b:Tag>
    <b:SourceType>DocumentFromInternetSite</b:SourceType>
    <b:Guid>{47B6BA1D-B9A9-4DF1-A051-112BE17A71B6}</b:Guid>
    <b:Author>
      <b:Author>
        <b:Corporate>Trina Solar</b:Corporate>
      </b:Author>
    </b:Author>
    <b:Title>Vértice 600W TSM-DE20 MBB/585-605W</b:Title>
    <b:InternetSiteTitle>Vértice 600W TSM-DE20 MBB/585-605W</b:InternetSiteTitle>
    <b:URL>https://www.trinasolar.com/en-glb/product/VERTEX-DE20</b:URL>
    <b:RefOrder>55</b:RefOrder>
  </b:Source>
  <b:Source>
    <b:Tag>SMA21</b:Tag>
    <b:SourceType>DocumentFromInternetSite</b:SourceType>
    <b:Guid>{C7C1182E-9666-49E6-8F6B-005FA8BE80B8}</b:Guid>
    <b:Author>
      <b:Author>
        <b:Corporate>SMA</b:Corporate>
      </b:Author>
    </b:Author>
    <b:Title>SUNNY TRIPOWER 12000TL-US / 15000TL-US /</b:Title>
    <b:InternetSiteTitle>SUNNY TRIPOWER 12000TL-US / 15000TL-US /</b:InternetSiteTitle>
    <b:Year>2021</b:Year>
    <b:URL>https://files.sma.de/downloads/STPTL-US12-30-DSP_MX183328W.pdf</b:URL>
    <b:RefOrder>28</b:RefOrder>
  </b:Source>
  <b:Source>
    <b:Tag>Hom</b:Tag>
    <b:SourceType>DocumentFromInternetSite</b:SourceType>
    <b:Guid>{7DBB6BFA-E750-408D-A08E-FC853D32ECF4}</b:Guid>
    <b:Author>
      <b:Author>
        <b:Corporate>Homer Pro</b:Corporate>
      </b:Author>
    </b:Author>
    <b:Title>Battery Bank Life</b:Title>
    <b:InternetSiteTitle>Battery Bank Life</b:InternetSiteTitle>
    <b:URL>https://www.homerenergy.com/products/pro/docs/3.14/battery_bank_life.html</b:URL>
    <b:RefOrder>56</b:RefOrder>
  </b:Source>
  <b:Source>
    <b:Tag>HOM</b:Tag>
    <b:SourceType>DocumentFromInternetSite</b:SourceType>
    <b:Guid>{270BE013-66C2-4FEA-AA76-433A6DE4F56B}</b:Guid>
    <b:Author>
      <b:Author>
        <b:Corporate>HOMER PRO</b:Corporate>
      </b:Author>
    </b:Author>
    <b:Title>Net Present Cost</b:Title>
    <b:InternetSiteTitle>Net Present Cost</b:InternetSiteTitle>
    <b:URL>https://www.homerenergy.com/products/pro/docs/3.14/net_present_cost.html</b:URL>
    <b:RefOrder>57</b:RefOrder>
  </b:Source>
  <b:Source>
    <b:Tag>HOM1</b:Tag>
    <b:SourceType>DocumentFromInternetSite</b:SourceType>
    <b:Guid>{F8D778B3-0405-4DE9-B08F-EE0E8E4C95FD}</b:Guid>
    <b:Author>
      <b:Author>
        <b:Corporate>HOMER PRO</b:Corporate>
      </b:Author>
    </b:Author>
    <b:Title>Annualized Cost</b:Title>
    <b:InternetSiteTitle>Annualized Cost</b:InternetSiteTitle>
    <b:URL>https://www.homerenergy.com/products/pro/docs/3.14/annualized_cost.html</b:URL>
    <b:RefOrder>58</b:RefOrder>
  </b:Source>
  <b:Source>
    <b:Tag>Com</b:Tag>
    <b:SourceType>DocumentFromInternetSite</b:SourceType>
    <b:Guid>{E8B5CA08-C209-4FFD-9ECA-C1FCA3133F1A}</b:Guid>
    <b:Author>
      <b:Author>
        <b:NameList>
          <b:Person>
            <b:Last>economics</b:Last>
            <b:First>Compare</b:First>
          </b:Person>
        </b:NameList>
      </b:Author>
    </b:Author>
    <b:Title>HOMER PRO</b:Title>
    <b:InternetSiteTitle>HOMER PRO</b:InternetSiteTitle>
    <b:URL>https://www.homerenergy.com/products/pro/docs/3.14/compare_economics.html</b:URL>
    <b:RefOrder>59</b:RefOrder>
  </b:Source>
  <b:Source>
    <b:Tag>Ret</b:Tag>
    <b:SourceType>DocumentFromInternetSite</b:SourceType>
    <b:Guid>{FBCB6467-1B99-4489-85BE-07C3ADF52A36}</b:Guid>
    <b:Author>
      <b:Author>
        <b:NameList>
          <b:Person>
            <b:Last>investment</b:Last>
            <b:First>Return</b:First>
            <b:Middle>on</b:Middle>
          </b:Person>
        </b:NameList>
      </b:Author>
    </b:Author>
    <b:Title>HOMER PRO</b:Title>
    <b:InternetSiteTitle>HOMER PRO</b:InternetSiteTitle>
    <b:URL>https://www.homerenergy.com/products/pro/docs/3.14/return_on_investment.html</b:URL>
    <b:RefOrder>60</b:RefOrder>
  </b:Source>
  <b:Source>
    <b:Tag>Ped14</b:Tag>
    <b:SourceType>JournalArticle</b:SourceType>
    <b:Guid>{7380F329-F39F-47C6-A566-F7848A25D7F9}</b:Guid>
    <b:Author>
      <b:Author>
        <b:NameList>
          <b:Person>
            <b:Last>Pedro Pablo Vergara Barrios</b:Last>
            <b:First>Juan</b:First>
            <b:Middle>Manuel Rey Lopez, Germán Alfonso Osma Pinto y Gabriel Ordoñez Plata</b:Middle>
          </b:Person>
        </b:NameList>
      </b:Author>
    </b:Author>
    <b:Title>Evaluación del potencial solar y eólico del campus central de la Uis y la ciudad de Bucaramanga, Colombia</b:Title>
    <b:InternetSiteTitle>Evaluación del potencial solar y eólico del campus central de la Uis y la ciudad de Bucaramanga, Colombia</b:InternetSiteTitle>
    <b:Year>2014</b:Year>
    <b:Month>06</b:Month>
    <b:Day>15</b:Day>
    <b:URL>https://revistas.uis.edu.co/index.php/revistauisingenierias/article/view/49-57/6251</b:URL>
    <b:YearAccessed>2023</b:YearAccessed>
    <b:MonthAccessed>02</b:MonthAccessed>
    <b:DayAccessed>05</b:DayAccessed>
    <b:JournalName>Revista Uis Ingenierias</b:JournalName>
    <b:City>Bucaramanga</b:City>
    <b:Pages>49-57</b:Pages>
    <b:Volume>13</b:Volume>
    <b:Issue>2</b:Issue>
    <b:RefOrder>61</b:RefOrder>
  </b:Source>
  <b:Source>
    <b:Tag>Mon20</b:Tag>
    <b:SourceType>DocumentFromInternetSite</b:SourceType>
    <b:Guid>{F129E715-1DB2-45AD-A3A4-D42D8EF616D9}</b:Guid>
    <b:Author>
      <b:Author>
        <b:NameList>
          <b:Person>
            <b:Last>J.D.</b:Last>
            <b:First>Montoya</b:First>
          </b:Person>
        </b:NameList>
      </b:Author>
    </b:Author>
    <b:Title>Actividades Económicas</b:Title>
    <b:Year>2020</b:Year>
    <b:URL>https://www.actividadeseconomicas.org/2020/04/capitalismo-industrial.html</b:URL>
    <b:InternetSiteTitle>Actividades Económicas</b:InternetSiteTitle>
    <b:RefOrder>62</b:RefOrder>
  </b:Source>
  <b:Source>
    <b:Tag>Jua21</b:Tag>
    <b:SourceType>DocumentFromInternetSite</b:SourceType>
    <b:Guid>{93E6B332-7554-4639-AEA0-6D9B895958B9}</b:Guid>
    <b:Author>
      <b:Author>
        <b:NameList>
          <b:Person>
            <b:Last>Segura</b:Last>
            <b:First>Juana</b:First>
            <b:Middle>Katherin Guzmán</b:Middle>
          </b:Person>
        </b:NameList>
      </b:Author>
    </b:Author>
    <b:Title>Repositorio Universidad de América</b:Title>
    <b:InternetSiteTitle>ESTRATEGIAS DE LAS UNIVERSIDADES PARA LA CERTIFICACIÓN GREEN</b:InternetSiteTitle>
    <b:Year>2021</b:Year>
    <b:URL>http://repository.uamerica.edu.co/bitstream/20.500.11839/8402/1/874355-2021-I-GA.pdf</b:URL>
    <b:RefOrder>63</b:RefOrder>
  </b:Source>
  <b:Source>
    <b:Tag>Wea</b:Tag>
    <b:SourceType>DocumentFromInternetSite</b:SourceType>
    <b:Guid>{B0FBDE80-18C5-4545-83CF-87E15A0D14C4}</b:Guid>
    <b:Author>
      <b:Author>
        <b:Corporate>Weather Spark</b:Corporate>
      </b:Author>
    </b:Author>
    <b:Title>El clima y el tiempo promedio en todo el año en Bucaramanga Colombia</b:Title>
    <b:InternetSiteTitle>El clima y el tiempo promedio en todo el año en Bucaramanga Colombia</b:InternetSiteTitle>
    <b:URL>https://es.weatherspark.com/y/24381/Clima-promedio-en-Bucaramanga-Colombia-durante-todo-el-a%C3%B1o</b:URL>
    <b:Year>s.f.</b:Year>
    <b:RefOrder>10</b:RefOrder>
  </b:Source>
  <b:Source>
    <b:Tag>Syl22</b:Tag>
    <b:SourceType>DocumentFromInternetSite</b:SourceType>
    <b:Guid>{E17F6C29-87F4-413A-A6C9-5ADF3C4712BA}</b:Guid>
    <b:Author>
      <b:Author>
        <b:Corporate>Sylvania</b:Corporate>
      </b:Author>
    </b:Author>
    <b:Title>LED TUBE VIDRIO.</b:Title>
    <b:InternetSiteTitle>LED TUBE VIDRIO.</b:InternetSiteTitle>
    <b:Year>2022</b:Year>
    <b:Month>10</b:Month>
    <b:Day>28</b:Day>
    <b:URL>https://sylvania-colombia.com/product/led-tube-vidrio/</b:URL>
    <b:YearAccessed>2023</b:YearAccessed>
    <b:MonthAccessed>02</b:MonthAccessed>
    <b:DayAccessed>01</b:DayAccessed>
    <b:RefOrder>24</b:RefOrder>
  </b:Source>
  <b:Source>
    <b:Tag>Schsf</b:Tag>
    <b:SourceType>DocumentFromInternetSite</b:SourceType>
    <b:Guid>{D6B7CEB2-B7BD-46ED-A52B-E9CEDBA3168E}</b:Guid>
    <b:Author>
      <b:Author>
        <b:NameList>
          <b:Person>
            <b:Last>Electric</b:Last>
            <b:First>Schneider</b:First>
          </b:Person>
        </b:NameList>
      </b:Author>
    </b:Author>
    <b:Title>Detector de movimiento Argus </b:Title>
    <b:InternetSiteTitle>Detector de movimiento Argus</b:InternetSiteTitle>
    <b:Year>s.f.</b:Year>
    <b:URL>https://www.se.com/ar/es/product-range/2078-detector-de-movimiento-argus/#overview</b:URL>
    <b:RefOrder>25</b:RefOrder>
  </b:Source>
  <b:Source>
    <b:Tag>Opesf</b:Tag>
    <b:SourceType>DocumentFromInternetSite</b:SourceType>
    <b:Guid>{B39DA302-BA15-4170-B6BD-00C6AFB9506D}</b:Guid>
    <b:Author>
      <b:Author>
        <b:Corporate>Open Data Surface NASA </b:Corporate>
      </b:Author>
    </b:Author>
    <b:Title>Provides solar and meteorological data sets from NASA</b:Title>
    <b:InternetSiteTitle>Provides solar and meteorological data sets from NASA</b:InternetSiteTitle>
    <b:Year>s.f. </b:Year>
    <b:URL>https://power.larc.nasa.gov/data-access-viewer/</b:URL>
    <b:RefOrder>11</b:RefOrder>
  </b:Source>
  <b:Source>
    <b:Tag>Noh22</b:Tag>
    <b:SourceType>DocumentFromInternetSite</b:SourceType>
    <b:Guid>{10090A99-59DB-4AD4-827B-E87C08878E7F}</b:Guid>
    <b:Author>
      <b:Author>
        <b:NameList>
          <b:Person>
            <b:Last>Mora</b:Last>
            <b:First>Nohora</b:First>
            <b:Middle>Beatriz Mejía</b:Middle>
          </b:Person>
        </b:NameList>
      </b:Author>
    </b:Author>
    <b:Title>Requerimiento de datos de consumo eléctrico (Facturas de consumo eléctrico, 2022)</b:Title>
    <b:Year>2022</b:Year>
    <b:RefOrder>1</b:RefOrder>
  </b:Source>
  <b:Source>
    <b:Tag>NAS</b:Tag>
    <b:SourceType>DocumentFromInternetSite</b:SourceType>
    <b:Guid>{CBF6A470-553C-4BC7-AACA-B7AF1EB5F65C}</b:Guid>
    <b:Title>NASA Prediction of Worldwide Energy Resource (POWER) database</b:Title>
    <b:Author>
      <b:Author>
        <b:NameList>
          <b:Person>
            <b:Last>Stackhouse</b:Last>
            <b:First>Paul</b:First>
          </b:Person>
        </b:NameList>
      </b:Author>
    </b:Author>
    <b:InternetSiteTitle>NASA Prediction of Worldwide Energy Resource (POWER) database</b:InternetSiteTitle>
    <b:Year>s.f.</b:Year>
    <b:URL>https://power.larc.nasa.gov/</b:URL>
    <b:RefOrder>13</b:RefOrder>
  </b:Source>
  <b:Source>
    <b:Tag>Pausf</b:Tag>
    <b:SourceType>DocumentFromInternetSite</b:SourceType>
    <b:Guid>{507D685B-AA7E-4807-AF53-D710681F3E5E}</b:Guid>
    <b:Author>
      <b:Author>
        <b:NameList>
          <b:Person>
            <b:Last>Jr.</b:Last>
            <b:First>Paul</b:First>
            <b:Middle>Stackhouse</b:Middle>
          </b:Person>
        </b:NameList>
      </b:Author>
    </b:Author>
    <b:Title>Predicción de Recursos Energéticos Mundiales (POWER)</b:Title>
    <b:InternetSiteTitle>Predicción de Recursos Energéticos Mundiales (POWER)</b:InternetSiteTitle>
    <b:Year>s.f.</b:Year>
    <b:URL>https://power.larc.nasa.gov/beta/data-access-viewer/</b:URL>
    <b:RefOrder>64</b:RefOrder>
  </b:Source>
  <b:Source>
    <b:Tag>Ort22</b:Tag>
    <b:SourceType>InternetSite</b:SourceType>
    <b:Guid>{1160D0B4-33E8-41F0-B9AC-45962E20298E}</b:Guid>
    <b:Author>
      <b:Author>
        <b:NameList>
          <b:Person>
            <b:Last>Ortega</b:Last>
            <b:First>Sanint,</b:First>
            <b:Middle>Jaramillo</b:Middle>
          </b:Person>
        </b:NameList>
      </b:Author>
    </b:Author>
    <b:Year>2022</b:Year>
    <b:URL>https://repository.eia.edu.co/bitstream/handle/11190/4172/EscenariosEnergeticosColombia.pdf?sequence=1&amp;isAllowed=y</b:URL>
    <b:RefOrder>6</b:RefOrder>
  </b:Source>
  <b:Source>
    <b:Tag>Moh22</b:Tag>
    <b:SourceType>DocumentFromInternetSite</b:SourceType>
    <b:Guid>{D51A67B7-10E1-43CE-BC31-981F697063BF}</b:Guid>
    <b:Author>
      <b:Author>
        <b:NameList>
          <b:Person>
            <b:Last>Mohamed Aqil Afham Rahmat</b:Last>
            <b:First>Ag</b:First>
            <b:Middle>Sufiyán Abd Hamid, Yuanshen Lu, Muhammad Amir Aziat Ishak, Jeque Zishan Suheel, Ahmad Fazlizan &amp; Adnan Ibrahim.</b:Middle>
          </b:Person>
        </b:NameList>
      </b:Author>
    </b:Author>
    <b:Title>Un análisis de las inversiones en integración de tecnología de energía renovable en Malasia utilizando HOMER Pro</b:Title>
    <b:InternetSiteTitle>Un análisis de las inversiones en integración de tecnología de energía renovable en Malasia utilizando HOMER Pro</b:InternetSiteTitle>
    <b:Year>2022</b:Year>
    <b:Month>10</b:Month>
    <b:Day>21</b:Day>
    <b:URL>https://www.mdpi.com/2071-1050/14/20/13684</b:URL>
    <b:YearAccessed>2023</b:YearAccessed>
    <b:MonthAccessed>02</b:MonthAccessed>
    <b:DayAccessed>04</b:DayAccessed>
    <b:DOI>https://doi.org/10.3390/su142013684</b:DOI>
    <b:RefOrder>65</b:RefOrder>
  </b:Source>
  <b:Source>
    <b:Tag>UPM19</b:Tag>
    <b:SourceType>DocumentFromInternetSite</b:SourceType>
    <b:Guid>{12857090-3D80-446A-B6F2-D1714C67921D}</b:Guid>
    <b:Author>
      <b:Author>
        <b:Corporate>UPME</b:Corporate>
      </b:Author>
    </b:Author>
    <b:Title>Primer balance de Energía Útil para Colombia y Cuantificación de las Perdidas energéticas relacionadas y la brecha de la eficiencia energetica</b:Title>
    <b:InternetSiteTitle>Primer balance de Energía Útil para Colombia y Cuantificación de las Perdidas energéticas relacionadas y la brecha de la eficiencia energetica</b:InternetSiteTitle>
    <b:Year>2019</b:Year>
    <b:Month>04</b:Month>
    <b:Day>08</b:Day>
    <b:URL>https://www1.upme.gov.co/DemandayEficiencia/Documents/Balance_energia_util/BEU-Residencial.pdf</b:URL>
    <b:YearAccessed>2023</b:YearAccessed>
    <b:MonthAccessed>02</b:MonthAccessed>
    <b:DayAccessed>10</b:DayAccessed>
    <b:RefOrder>26</b:RefOrder>
  </b:Source>
  <b:Source>
    <b:Tag>Far17</b:Tag>
    <b:SourceType>DocumentFromInternetSite</b:SourceType>
    <b:Guid>{41E770FC-A8BA-4D53-A323-2DF3F1C35AC2}</b:Guid>
    <b:Title>An Economic Evaluation of Renewable and Conventional Electricity Generation Systems in a Shopping Center Using HOMER Pro®</b:Title>
    <b:InternetSiteTitle>An Economic Evaluation of Renewable and Conventional Electricity Generation Systems in a Shopping Center Using HOMER Pro®</b:InternetSiteTitle>
    <b:Year>2017</b:Year>
    <b:Month>10</b:Month>
    <b:Day>07</b:Day>
    <b:URL>http://www.m-hikari.com/ces/ces2017/ces25-28-2017/p/barrozoCES25-28-2017.pdf</b:URL>
    <b:Author>
      <b:Author>
        <b:NameList>
          <b:Person>
            <b:Last>Farid Barrozo Budes</b:Last>
            <b:First>Guillermo</b:First>
            <b:Middle>Valencia Ochoa &amp; Yulineth Cárdenas Escorcia</b:Middle>
          </b:Person>
        </b:NameList>
      </b:Author>
    </b:Author>
    <b:YearAccessed>2023</b:YearAccessed>
    <b:MonthAccessed>01</b:MonthAccessed>
    <b:DayAccessed>28</b:DayAccessed>
    <b:DOI>https://doi.org/10.12988/ces.2017.710149</b:DOI>
    <b:RefOrder>66</b:RefOrder>
  </b:Source>
  <b:Source>
    <b:Tag>Her12</b:Tag>
    <b:SourceType>DocumentFromInternetSite</b:SourceType>
    <b:Guid>{7AC9A29A-234D-4844-8BC4-ABC56D53913C}</b:Guid>
    <b:Author>
      <b:Author>
        <b:NameList>
          <b:Person>
            <b:Last>Hernández</b:Last>
            <b:First>Mateo</b:First>
            <b:Middle>Vargas</b:Middle>
          </b:Person>
        </b:NameList>
      </b:Author>
    </b:Author>
    <b:Title>Repositorio Universidad de Los Andes</b:Title>
    <b:InternetSiteTitle>Repositorio Universidad de Los Andes</b:InternetSiteTitle>
    <b:Year>2012</b:Year>
    <b:Month>12</b:Month>
    <b:Day>11</b:Day>
    <b:URL>file:///C:/Users/usuario/Downloads/u627251.pdf</b:URL>
    <b:YearAccessed>2023</b:YearAccessed>
    <b:MonthAccessed>02</b:MonthAccessed>
    <b:DayAccessed>05</b:DayAccessed>
    <b:RefOrder>7</b:RefOrder>
  </b:Source>
  <b:Source>
    <b:Tag>San22</b:Tag>
    <b:SourceType>DocumentFromInternetSite</b:SourceType>
    <b:Guid>{B805FF9F-95C5-4BA7-959C-0756ED249F59}</b:Guid>
    <b:Author>
      <b:Author>
        <b:NameList>
          <b:Person>
            <b:Last>Osorio</b:Last>
            <b:First>Santiago</b:First>
            <b:Middle>Ruiz</b:Middle>
          </b:Person>
        </b:NameList>
      </b:Author>
    </b:Author>
    <b:Title>Universidad Nacional de Colombia.</b:Title>
    <b:InternetSiteTitle>Evaluación de criterios para incentivar las edificaciones de balance energético cero en Colombia</b:InternetSiteTitle>
    <b:Year>2022</b:Year>
    <b:URL>https://repositorio.unal.edu.co/handle/unal/80971</b:URL>
    <b:RefOrder>8</b:RefOrder>
  </b:Source>
  <b:Source>
    <b:Tag>Joa19</b:Tag>
    <b:SourceType>DocumentFromInternetSite</b:SourceType>
    <b:Guid>{1E7892AE-B67B-442A-9E58-44D1B48C5C4B}</b:Guid>
    <b:Author>
      <b:Author>
        <b:NameList>
          <b:Person>
            <b:Last>Montes</b:Last>
            <b:First>Joaquín</b:First>
            <b:Middle>Piñeiro</b:Middle>
          </b:Person>
        </b:NameList>
      </b:Author>
    </b:Author>
    <b:Title>ABC de Uso Racional y Eficiente de Energía en Edificaciones </b:Title>
    <b:InternetSiteTitle>VATIA</b:InternetSiteTitle>
    <b:Year>2019</b:Year>
    <b:URL>https://docplayer.es/77868647-Abc-de-uso-racional-y-eficiente-de-energia-en-edificaciones.html</b:URL>
    <b:RefOrder>27</b:RefOrder>
  </b:Source>
  <b:Source>
    <b:Tag>Sersf</b:Tag>
    <b:SourceType>DocumentFromInternetSite</b:SourceType>
    <b:Guid>{A8495247-D29A-4C19-A6B6-3B0B234CFE49}</b:Guid>
    <b:Author>
      <b:Author>
        <b:NameList>
          <b:Person>
            <b:Last>Ortiz</b:Last>
            <b:First>Sergio</b:First>
          </b:Person>
        </b:NameList>
      </b:Author>
    </b:Author>
    <b:Title>prezi.com</b:Title>
    <b:InternetSiteTitle>Historia de las UNIDADES TECNOLOGICAS DE SANTANDER</b:InternetSiteTitle>
    <b:Year>s.f.</b:Year>
    <b:URL>https://www.scribbr.es/citar/generador/folders/GxYzLLOJjf6jkarqknBuf/lists/2RVn1aJx1YXuxpB1eFVSLC/fuentes/4swZynhNbltxzpddWnmYZQ/editar/</b:URL>
    <b:RefOrder>30</b:RefOrder>
  </b:Source>
  <b:Source>
    <b:Tag>Uni14</b:Tag>
    <b:SourceType>DocumentFromInternetSite</b:SourceType>
    <b:Guid>{2A4BAC65-C58E-4673-8A06-0682C4F08CBC}</b:Guid>
    <b:Author>
      <b:Author>
        <b:NameList>
          <b:Person>
            <b:Last>Europea</b:Last>
            <b:First>Universidad</b:First>
          </b:Person>
        </b:NameList>
      </b:Author>
    </b:Author>
    <b:Title>Sistemas Inteligentes y energías renovables</b:Title>
    <b:InternetSiteTitle>Sistemas Inteligentes y energías renovables</b:InternetSiteTitle>
    <b:Year>2014</b:Year>
    <b:Month>04</b:Month>
    <b:Day>23</b:Day>
    <b:URL>https://sierterm.es/content/velocidad-de-acoplamiento/</b:URL>
    <b:YearAccessed>2023</b:YearAccessed>
    <b:MonthAccessed>16</b:MonthAccessed>
    <b:DayAccessed>02</b:DayAccessed>
    <b:ShortTitle>velocidad de acoplamiento</b:ShortTitle>
    <b:RefOrder>23</b:RefOrder>
  </b:Source>
  <b:Source>
    <b:Tag>Loz17</b:Tag>
    <b:SourceType>DocumentFromInternetSite</b:SourceType>
    <b:Guid>{A2CCDD0D-0EAB-4F14-9EE8-DF4DB9CECC61}</b:Guid>
    <b:Author>
      <b:Author>
        <b:NameList>
          <b:Person>
            <b:Last>Lozada</b:Last>
            <b:First>Jorge</b:First>
            <b:Middle>Luiz Picay</b:Middle>
          </b:Person>
        </b:NameList>
      </b:Author>
    </b:Author>
    <b:Title>Universidad Autonoma de Occidente</b:Title>
    <b:InternetSiteTitle>Universidad Autonoma de Occidente</b:InternetSiteTitle>
    <b:Year>2017</b:Year>
    <b:Month>12</b:Month>
    <b:Day>15</b:Day>
    <b:URL>https://red.uao.edu.co/bitstream/handle/10614/10010/T07673.pdf?sequence=5&amp;isAllowed=y</b:URL>
    <b:YearAccessed>2023</b:YearAccessed>
    <b:MonthAccessed>02</b:MonthAccessed>
    <b:DayAccessed>07</b:DayAccessed>
    <b:ShortTitle>Análisis Experimental de la relación de temperatura de operación de un módulo fotovoltaico y su voltaje de circuito abierto</b:ShortTitle>
    <b:RefOrder>32</b:RefOrder>
  </b:Source>
  <b:Source>
    <b:Tag>Sunsf</b:Tag>
    <b:SourceType>DocumentFromInternetSite</b:SourceType>
    <b:Guid>{FF61AB42-A9B4-4BEE-A4A0-13D8156BB971}</b:Guid>
    <b:Author>
      <b:Author>
        <b:NameList>
          <b:Person>
            <b:Last>Sunearthtools</b:Last>
          </b:Person>
        </b:NameList>
      </b:Author>
    </b:Author>
    <b:Title>Cálculo de la posición del sol en el cielo para cada lugar en cualquier momento</b:Title>
    <b:InternetSiteTitle>Cálculo de la posición del sol en el cielo para cada lugar en cualquier momento</b:InternetSiteTitle>
    <b:Year>s.f.</b:Year>
    <b:URL>https://www.sunearthtools.com/dp/tools/pos_sun.php?lang=es</b:URL>
    <b:RefOrder>12</b:RefOrder>
  </b:Source>
  <b:Source>
    <b:Tag>Por18</b:Tag>
    <b:SourceType>DocumentFromInternetSite</b:SourceType>
    <b:Guid>{B13ABC2D-FC03-41E2-AFF3-E5B08DD825A3}</b:Guid>
    <b:Title>Recursos de energía solar superficial y condiciones meteorológicas</b:Title>
    <b:InternetSiteTitle>Recursos de energía solar superficial y condiciones meteorológicas</b:InternetSiteTitle>
    <b:Year>2018</b:Year>
    <b:Month>06</b:Month>
    <b:Day>25</b:Day>
    <b:URL>https://power.larc.nasa.gov/</b:URL>
    <b:Author>
      <b:Author>
        <b:Corporate>Portal NASA</b:Corporate>
      </b:Author>
      <b:Editor>
        <b:NameList>
          <b:Person>
            <b:Last>Espacio</b:Last>
            <b:First>Administración</b:First>
            <b:Middle>Nacional de Aeronáutica y</b:Middle>
          </b:Person>
        </b:NameList>
      </b:Editor>
    </b:Author>
    <b:YearAccessed>2023</b:YearAccessed>
    <b:MonthAccessed>02</b:MonthAccessed>
    <b:DayAccessed>10</b:DayAccessed>
    <b:RefOrder>31</b:RefOrder>
  </b:Source>
  <b:Source>
    <b:Tag>Orl17</b:Tag>
    <b:SourceType>JournalArticle</b:SourceType>
    <b:Guid>{CD090FE4-BAF7-4B20-97AE-6C020BBB2466}</b:Guid>
    <b:Title>Quantification of electrical energy savings in residential customers throughdemand management strategies</b:Title>
    <b:InternetSiteTitle>Revista UIS Ingenierías</b:InternetSiteTitle>
    <b:Year>2017</b:Year>
    <b:URL>https://revistas.uis.edu.co/index.php/revistauisingenierias/article/view/5747/7074</b:URL>
    <b:Author>
      <b:Author>
        <b:NameList>
          <b:Person>
            <b:Last>Orlando González</b:Last>
            <b:First>Andrés</b:First>
            <b:Middle>Pavas, Samir Sánchez</b:Middle>
          </b:Person>
        </b:NameList>
      </b:Author>
    </b:Author>
    <b:YearAccessed>2023</b:YearAccessed>
    <b:MonthAccessed>02</b:MonthAccessed>
    <b:DayAccessed>10</b:DayAccessed>
    <b:ShortTitle>Quantification of electrical energy savings in residential customers throughdemand management strategies</b:ShortTitle>
    <b:DOI>https://doi.org/10.18273/revuin.v16n2-2017020</b:DOI>
    <b:JournalName>Revista UIS Ingenierías</b:JournalName>
    <b:City>Bucaramanga</b:City>
    <b:Pages> 217 -226</b:Pages>
    <b:Volume>16</b:Volume>
    <b:Issue>2</b:Issue>
    <b:RefOrder>67</b:RefOrder>
  </b:Source>
  <b:Source>
    <b:Tag>Min21</b:Tag>
    <b:SourceType>DocumentFromInternetSite</b:SourceType>
    <b:Guid>{EF347EC8-C2FF-4090-838F-582FC604B44D}</b:Guid>
    <b:Author>
      <b:Author>
        <b:Corporate>MinAmbiente</b:Corporate>
      </b:Author>
    </b:Author>
    <b:Title>Ministerio de Ambiente Colombia</b:Title>
    <b:InternetSiteTitle>Ministerio de Ambiente Colombia</b:InternetSiteTitle>
    <b:Year>2021</b:Year>
    <b:Month>08</b:Month>
    <b:Day>09</b:Day>
    <b:URL>https://www.minambiente.gov.co/cambio-climatico/colombia-esta-comprometida-con-la-accion-climatica-global-ministro-de-ambiente/</b:URL>
    <b:RefOrder>68</b:RefOrder>
  </b:Source>
  <b:Source>
    <b:Tag>Jua20</b:Tag>
    <b:SourceType>InternetSite</b:SourceType>
    <b:Guid>{50AAF36E-9636-481A-BF4A-C7F19988F3CE}</b:Guid>
    <b:Author>
      <b:Author>
        <b:NameList>
          <b:Person>
            <b:Last>Montoya</b:Last>
            <b:First>Juan</b:First>
            <b:Middle>David</b:Middle>
          </b:Person>
        </b:NameList>
      </b:Author>
    </b:Author>
    <b:Title>Actividades Económicas</b:Title>
    <b:InternetSiteTitle>Actividades Económicas</b:InternetSiteTitle>
    <b:Year>2020</b:Year>
    <b:Month>04</b:Month>
    <b:Day>30</b:Day>
    <b:URL>https://www.actividadeseconomicas.org/2020/04/capitalismo-industrial.html</b:URL>
    <b:YearAccessed>2022</b:YearAccessed>
    <b:MonthAccessed>12</b:MonthAccessed>
    <b:DayAccessed>23</b:DayAccessed>
    <b:ShortTitle>Capitalismo industrial, desde el capitalismo y la revolución industrial</b:ShortTitle>
    <b:RefOrder>69</b:RefOrder>
  </b:Source>
  <b:Source>
    <b:Tag>Org72</b:Tag>
    <b:SourceType>InternetSite</b:SourceType>
    <b:Guid>{F2ADC561-7DC0-40B7-9725-4C9E022438A6}</b:Guid>
    <b:Author>
      <b:Author>
        <b:Corporate>Organización de Naciones Unidas</b:Corporate>
      </b:Author>
    </b:Author>
    <b:Title>Conferencia de las Naciones Unidas sobre el Medio Humano, 5 a 16 de junio de 1972, Estocolmo</b:Title>
    <b:InternetSiteTitle>Conferencia de las Naciones Unidas sobre el Medio Humano, 5 a 16 de junio de 1972, Estocolmo</b:InternetSiteTitle>
    <b:Year>1973</b:Year>
    <b:Month>05</b:Month>
    <b:Day>16</b:Day>
    <b:URL>https://www.un.org/es/conferences/environment/stockholm1972</b:URL>
    <b:YearAccessed>2022</b:YearAccessed>
    <b:MonthAccessed>10</b:MonthAccessed>
    <b:DayAccessed>20</b:DayAccessed>
    <b:RefOrder>70</b:RefOrder>
  </b:Source>
  <b:Source>
    <b:Tag>Zap19</b:Tag>
    <b:SourceType>Report</b:SourceType>
    <b:Guid>{F1475C62-0484-4210-9E65-606025BACAB8}</b:Guid>
    <b:Title>Evaluación financiera de la utilización de los elementos generadores de energía renovable en las edificaciones en Colombia</b:Title>
    <b:Year>2019</b:Year>
    <b:Pages>54</b:Pages>
    <b:Author>
      <b:Author>
        <b:NameList>
          <b:Person>
            <b:Last>Zapata</b:Last>
            <b:First>Joan</b:First>
            <b:Middle>Sebastian Ruiz</b:Middle>
          </b:Person>
        </b:NameList>
      </b:Author>
    </b:Author>
    <b:Publisher>Universidad Nacional de Colombia</b:Publisher>
    <b:City>Medellin</b:City>
    <b:Institution>Universidad Nacional de Colombia</b:Institution>
    <b:ThesisType>Tesis maestria</b:ThesisType>
    <b:YearAccessed>2022</b:YearAccessed>
    <b:MonthAccessed>07</b:MonthAccessed>
    <b:DayAccessed>29</b:DayAccessed>
    <b:URL>https://repositorio.unal.edu.co/handle/unal/76942</b:URL>
    <b:RefOrder>71</b:RefOrder>
  </b:Source>
  <b:Source>
    <b:Tag>UPM12</b:Tag>
    <b:SourceType>DocumentFromInternetSite</b:SourceType>
    <b:Guid>{909F8672-08B2-4AA8-9BCE-0205E89E9768}</b:Guid>
    <b:Author>
      <b:Author>
        <b:NameList>
          <b:Person>
            <b:Last>UPME</b:Last>
          </b:Person>
        </b:NameList>
      </b:Author>
    </b:Author>
    <b:Title>Cobertura del servicio de energía eléctrica</b:Title>
    <b:InternetSiteTitle>Cobertura del servicio de energía eléctrica</b:InternetSiteTitle>
    <b:Year>2012</b:Year>
    <b:Month>12</b:Month>
    <b:Day>31</b:Day>
    <b:URL>http://www.upme.gov.co/generadorconsultas/Consulta_Series.aspx?idModulo=2&amp;tipoSerie=206&amp;grupo=558</b:URL>
    <b:RefOrder>72</b:RefOrder>
  </b:Source>
  <b:Source>
    <b:Tag>Gro21</b:Tag>
    <b:SourceType>DocumentFromInternetSite</b:SourceType>
    <b:Guid>{5BAD4F56-F0E7-4E18-AC52-C58D0E05AA06}</b:Guid>
    <b:Author>
      <b:Author>
        <b:NameList>
          <b:Person>
            <b:Last>Enel</b:Last>
            <b:First>Group</b:First>
          </b:Person>
        </b:NameList>
      </b:Author>
    </b:Author>
    <b:Title>Parque solar La Loma, Colombia</b:Title>
    <b:InternetSiteTitle>Parque solar La Loma, Colombia</b:InternetSiteTitle>
    <b:Year>2021</b:Year>
    <b:URL>https://www.enelgreenpower.com/es/proyectos/en-construccion/parque-solar-la-loma</b:URL>
    <b:RefOrder>73</b:RefOrder>
  </b:Source>
  <b:Source>
    <b:Tag>Mau22</b:Tag>
    <b:SourceType>DocumentFromInternetSite</b:SourceType>
    <b:Guid>{0CC9042E-E938-4301-92DB-1E60A63635BD}</b:Guid>
    <b:Author>
      <b:Author>
        <b:NameList>
          <b:Person>
            <b:Last>Bozzi</b:Last>
            <b:First>Mauricio</b:First>
            <b:Middle>Montoya</b:Middle>
          </b:Person>
        </b:NameList>
      </b:Author>
    </b:Author>
    <b:Title>Otorgan licencia ambiental que da luz verde al parque solar de Los Santos</b:Title>
    <b:InternetSiteTitle>Otorgan licencia ambiental que da luz verde al parque solar de Los Santos</b:InternetSiteTitle>
    <b:Year>2022</b:Year>
    <b:Month>02</b:Month>
    <b:Day>02</b:Day>
    <b:URL>https://www.vanguardia.com/economia/local/proyecto-de-energia-solar-en-la-mesa-de-los-santos-estaria-listo-en-2023-HG4811119</b:URL>
    <b:RefOrder>74</b:RefOrder>
  </b:Source>
  <b:Source>
    <b:Tag>EPM22</b:Tag>
    <b:SourceType>DocumentFromInternetSite</b:SourceType>
    <b:Guid>{1B57602C-1A32-40AA-9A69-261E2E472B2A}</b:Guid>
    <b:Author>
      <b:Author>
        <b:Corporate>EPM</b:Corporate>
      </b:Author>
    </b:Author>
    <b:Title>Parque Eólico Jepírachi</b:Title>
    <b:InternetSiteTitle>Parque Eólico Jepírachi</b:InternetSiteTitle>
    <b:Year>2022</b:Year>
    <b:Month>01</b:Month>
    <b:Day>13</b:Day>
    <b:URL>https://www.epm.com.co/site/home/nuestra-empresa/nuestras-plantas/energia/parque-eolico</b:URL>
    <b:RefOrder>75</b:RefOrder>
  </b:Source>
  <b:Source>
    <b:Tag>Qui22</b:Tag>
    <b:SourceType>DocumentFromInternetSite</b:SourceType>
    <b:Guid>{0E69E4ED-3B5F-49A3-B698-DC30D54FCEB2}</b:Guid>
    <b:Author>
      <b:Author>
        <b:NameList>
          <b:Person>
            <b:Last>Quinchía</b:Last>
            <b:First>Alejandra</b:First>
            <b:Middle>Zapata</b:Middle>
          </b:Person>
        </b:NameList>
      </b:Author>
    </b:Author>
    <b:Title>Entró en operación Guajira 1, el parque eólico más grande de Colombia</b:Title>
    <b:InternetSiteTitle>Entró en operación Guajira 1, el parque eólico más grande de Colombia</b:InternetSiteTitle>
    <b:Year>2022</b:Year>
    <b:Month>01</b:Month>
    <b:Day>22</b:Day>
    <b:URL>https://www.elcolombiano.com/inicio/ya-funciona-guajira-1-el-parque-eolico-mas-grande-de-colombia-OD16407382</b:URL>
    <b:RefOrder>76</b:RefOrder>
  </b:Source>
  <b:Source>
    <b:Tag>UPM22</b:Tag>
    <b:SourceType>DocumentFromInternetSite</b:SourceType>
    <b:Guid>{C53F5D42-9726-4128-A310-4E4CE546C378}</b:Guid>
    <b:Author>
      <b:Author>
        <b:Corporate>UPME</b:Corporate>
      </b:Author>
    </b:Author>
    <b:Title>Plan de Acción Indicativo PROURE</b:Title>
    <b:InternetSiteTitle>Plan de Acción Indicativo PROURE</b:InternetSiteTitle>
    <b:Year>2022</b:Year>
    <b:URL>https://www1.upme.gov.co/DemandayEficiencia/Paginas/PROURE.aspx</b:URL>
    <b:RefOrder>77</b:RefOrder>
  </b:Source>
  <b:Source>
    <b:Tag>Pet19</b:Tag>
    <b:SourceType>DocumentFromInternetSite</b:SourceType>
    <b:Guid>{B7362D6C-5161-4A60-AF66-478711B42E02}</b:Guid>
    <b:Title>Generación de energía híbrida mediante el uso de energía solar y eólica: estudio de caso</b:Title>
    <b:Year>2019</b:Year>
    <b:Author>
      <b:Author>
        <b:NameList>
          <b:Person>
            <b:Last>Peter Jenkins</b:Last>
            <b:First>Monaem</b:First>
            <b:Middle>Elmnifi, Abdalfadel Younis &amp; Alzaroog Emhamed.</b:Middle>
          </b:Person>
        </b:NameList>
      </b:Author>
    </b:Author>
    <b:InternetSiteTitle>Generación de energía híbrida mediante el uso de energía solar y eólica: estudio de caso</b:InternetSiteTitle>
    <b:Month>04</b:Month>
    <b:Day>04</b:Day>
    <b:URL>https://www.scirp.org/journal/paperinformation.aspx?paperid=92145</b:URL>
    <b:YearAccessed>2023</b:YearAccessed>
    <b:MonthAccessed>03</b:MonthAccessed>
    <b:DayAccessed>19</b:DayAccessed>
    <b:DOI>10.4236/wjm.2019.94006 </b:DOI>
    <b:RefOrder>78</b:RefOrder>
  </b:Source>
  <b:Source>
    <b:Tag>Sey20</b:Tag>
    <b:SourceType>DocumentFromInternetSite</b:SourceType>
    <b:Guid>{7BAE4910-6317-41AB-93A9-AA0B500E88C0}</b:Guid>
    <b:Author>
      <b:Author>
        <b:NameList>
          <b:Person>
            <b:Last>Seyyed Mostafa Nosratabadi</b:Last>
            <b:First>Reza</b:First>
            <b:Middle>Hemmati, Mosayeb Bornapour &amp; Mostafa Abdollahpour</b:Middle>
          </b:Person>
        </b:NameList>
      </b:Author>
    </b:Author>
    <b:Title>Economic evaluation and energy/exergy analysis of PV/Wind/PEMFC energy resources employment based on capacity, type of source and government incentive policies: Case study in Iran.</b:Title>
    <b:InternetSiteTitle>Economic evaluation and energy/exergy analysis of PV/Wind/PEMFC energy resources employment based on capacity, type of source and government incentive policies: Case study in Iran.</b:InternetSiteTitle>
    <b:Year>2020</b:Year>
    <b:Month>12</b:Month>
    <b:Day>17</b:Day>
    <b:URL>https://www.sciencedirect.com/science/article/abs/pii/S2213138820313916</b:URL>
    <b:YearAccessed>2023</b:YearAccessed>
    <b:MonthAccessed>03</b:MonthAccessed>
    <b:DayAccessed>19</b:DayAccessed>
    <b:DOI>https://doi.org/10.1016/j.seta.2020.100963</b:DOI>
    <b:RefOrder>79</b:RefOrder>
  </b:Source>
  <b:Source>
    <b:Tag>Ali16</b:Tag>
    <b:SourceType>DocumentFromInternetSite</b:SourceType>
    <b:Guid>{AFE5A738-2F4B-4182-9A37-5041A57DCDF7}</b:Guid>
    <b:Author>
      <b:Author>
        <b:NameList>
          <b:Person>
            <b:Last>Alireza Haghighat Mamaghani</b:Last>
            <b:First>Sebastian</b:First>
            <b:Middle>Alberto Avella Escandon, Behzad Najaf, Ali Shirazi &amp; Fabio Rinaldi</b:Middle>
          </b:Person>
        </b:NameList>
      </b:Author>
    </b:Author>
    <b:Title>Dipartimento di Energia, Politecnico di Milano</b:Title>
    <b:InternetSiteTitle>School of Mechanical and Manufacturing Engineering, The University of New South Wales (UNSW),  Australia</b:InternetSiteTitle>
    <b:Year>2016</b:Year>
    <b:Month>05</b:Month>
    <b:Day>26</b:Day>
    <b:URL>https://www.sciencedirect.com/science/article/abs/pii/S0960148116304967</b:URL>
    <b:YearAccessed>2023</b:YearAccessed>
    <b:MonthAccessed>03</b:MonthAccessed>
    <b:DayAccessed>19</b:DayAccessed>
    <b:ShortTitle>Techno-economic feasibility of photovoltaic, wind, diesel and hybrid electrification systems for off-grid rural electrification in Colombia. </b:ShortTitle>
    <b:DOI>doi:10.1016/j.renene.2016.05.086</b:DOI>
    <b:RefOrder>80</b:RefOrder>
  </b:Source>
  <b:Source>
    <b:Tag>Tej21</b:Tag>
    <b:SourceType>DocumentFromInternetSite</b:SourceType>
    <b:Guid>{61FDCE51-D71C-436E-9AF0-6263CA8AA1AC}</b:Guid>
    <b:Author>
      <b:Author>
        <b:NameList>
          <b:Person>
            <b:Last>Tejero</b:Last>
            <b:First>Jaime</b:First>
            <b:Middle>Javier Badia</b:Middle>
          </b:Person>
        </b:NameList>
      </b:Author>
    </b:Author>
    <b:Title>ESTUDIO DE LA VIABILIDAD DE ABASTECIMIENTO ENERGÉTICO DEL MUNICIPIO ARAS DE LOS OLMOS CON GENERACIÓN DE HIDRÓGENO COMO VECTOR ENERGÉTICO</b:Title>
    <b:InternetSiteTitle>ESTUDIO DE LA VIABILIDAD DE ABASTECIMIENTO ENERGÉTICO DEL MUNICIPIO ARAS DE LOS OLMOS CON GENERACIÓN DE HIDRÓGENO COMO VECTOR ENERGÉTICO</b:InternetSiteTitle>
    <b:Year>2021</b:Year>
    <b:Month>10</b:Month>
    <b:Day>22</b:Day>
    <b:URL>http://hdl.handle.net/10251/175318</b:URL>
    <b:YearAccessed>2023</b:YearAccessed>
    <b:MonthAccessed>03</b:MonthAccessed>
    <b:DayAccessed>19</b:DayAccessed>
    <b:RefOrder>9</b:RefOrder>
  </b:Source>
  <b:Source>
    <b:Tag>Min22</b:Tag>
    <b:SourceType>DocumentFromInternetSite</b:SourceType>
    <b:Guid>{5AC943C5-BE57-4199-A0D4-729C935E01CA}</b:Guid>
    <b:Author>
      <b:Author>
        <b:NameList>
          <b:Person>
            <b:Last>sostenible</b:Last>
            <b:First>Ministerio</b:First>
            <b:Middle>de ambiente y desarrollo</b:Middle>
          </b:Person>
        </b:NameList>
      </b:Author>
    </b:Author>
    <b:Title>Colombia hoy cuenta con cuatro nuevos proyectos de energías renovables</b:Title>
    <b:InternetSiteTitle>Colombia hoy cuenta con cuatro nuevos proyectos de energías renovables</b:InternetSiteTitle>
    <b:Year>2022</b:Year>
    <b:Month>11</b:Month>
    <b:Day>28</b:Day>
    <b:URL>https://www.anla.gov.co/noticias-anla/colombia-hoy-cuenta-con-cuatro-nuevos-proyectos-de-energias-renovables</b:URL>
    <b:RefOrder>81</b:RefOrder>
  </b:Source>
  <b:Source>
    <b:Tag>Jav13</b:Tag>
    <b:SourceType>DocumentFromInternetSite</b:SourceType>
    <b:Guid>{D87AD237-71CE-433F-8BD1-1F4C403CF145}</b:Guid>
    <b:Author>
      <b:Author>
        <b:NameList>
          <b:Person>
            <b:Last>Javid</b:Last>
            <b:First>Khalid</b:First>
            <b:Middle>Alkhathlan &amp; Muhammad</b:Middle>
          </b:Person>
        </b:NameList>
      </b:Author>
    </b:Author>
    <b:Title>Energy consumption, carbon emissions and economic growth in Saudi Arabia: An aggregate and disaggregate analysis</b:Title>
    <b:InternetSiteTitle>Energy consumption, carbon emissions and economic growth in Saudi Arabia: An aggregate and disaggregate analysis</b:InternetSiteTitle>
    <b:Year>2013</b:Year>
    <b:Month>07</b:Month>
    <b:Day>16</b:Day>
    <b:YearAccessed>2023</b:YearAccessed>
    <b:MonthAccessed>03</b:MonthAccessed>
    <b:DayAccessed>19</b:DayAccessed>
    <b:DOI>doi:10.1016/j.enpol.2013.07.068 </b:DOI>
    <b:RefOrder>82</b:RefOrder>
  </b:Source>
  <b:Source>
    <b:Tag>Car221</b:Tag>
    <b:SourceType>DocumentFromInternetSite</b:SourceType>
    <b:Guid>{E453D33D-45C7-4FA2-B2C2-7450281394CA}</b:Guid>
    <b:Author>
      <b:Author>
        <b:NameList>
          <b:Person>
            <b:Last>Carlos Ayala Durán</b:Last>
            <b:First>Juan</b:First>
            <b:Middle>Becerra Hurtado, Valeria Castro Obando, Lorena Guadalupe Corrales Borboa, Jorge Flores, Krissia Lorena Flores Navarro, Ulises González Garduño, Laura Ximena Iturbide, María Belén López, Alejandro Guillén, Romina &amp; Alan Vogelfanger</b:Middle>
          </b:Person>
        </b:NameList>
      </b:Author>
    </b:Author>
    <b:Title>FLACSO</b:Title>
    <b:InternetSiteTitle>FLACSO</b:InternetSiteTitle>
    <b:Year>2022</b:Year>
    <b:Month>11</b:Month>
    <b:Day>9</b:Day>
    <b:URL>https://www.flacso.org/sites/default/files/2022-11/Nuveas%20Miradas%20vDigital.pdf#page=107</b:URL>
    <b:RefOrder>83</b:RefOrder>
  </b:Source>
  <b:Source>
    <b:Tag>Bersf</b:Tag>
    <b:SourceType>DocumentFromInternetSite</b:SourceType>
    <b:Guid>{56178737-24BB-483E-AC00-91DFD2A5EBDF}</b:Guid>
    <b:Author>
      <b:Author>
        <b:Corporate>Bergey </b:Corporate>
      </b:Author>
    </b:Author>
    <b:Title>EXCEL 1 Wind Turbine</b:Title>
    <b:InternetSiteTitle>EXCEL 1 Wind Turbine</b:InternetSiteTitle>
    <b:Year>s.f. </b:Year>
    <b:URL>https://bergey.com/wp-content/uploads/excel-1-owners-manual.pdf</b:URL>
    <b:RefOrder>29</b:RefOrder>
  </b:Source>
</b:Sources>
</file>

<file path=customXml/itemProps1.xml><?xml version="1.0" encoding="utf-8"?>
<ds:datastoreItem xmlns:ds="http://schemas.openxmlformats.org/officeDocument/2006/customXml" ds:itemID="{B8EE738A-EA4B-4CC7-9C8C-9D75C413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3627</Words>
  <Characters>19949</Characters>
  <Application>Microsoft Office Word</Application>
  <DocSecurity>0</DocSecurity>
  <Lines>166</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Ana Maria Rosso Cerón</cp:lastModifiedBy>
  <cp:revision>16</cp:revision>
  <cp:lastPrinted>2015-05-12T18:31:00Z</cp:lastPrinted>
  <dcterms:created xsi:type="dcterms:W3CDTF">2023-07-04T16:04:00Z</dcterms:created>
  <dcterms:modified xsi:type="dcterms:W3CDTF">2023-07-05T17:06:00Z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